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CD5E5B" w:rsidRPr="0045163B" w:rsidRDefault="00CD5E5B">
      <w:pPr>
        <w:widowControl/>
        <w:pBdr>
          <w:top w:val="nil"/>
          <w:left w:val="nil"/>
          <w:bottom w:val="nil"/>
          <w:right w:val="nil"/>
          <w:between w:val="nil"/>
        </w:pBdr>
        <w:spacing w:before="120" w:after="120"/>
        <w:jc w:val="right"/>
        <w:rPr>
          <w:rFonts w:ascii="Arial" w:eastAsia="Arial" w:hAnsi="Arial" w:cs="Arial"/>
          <w:sz w:val="22"/>
          <w:szCs w:val="22"/>
          <w:lang w:val="en-US"/>
        </w:rPr>
      </w:pPr>
    </w:p>
    <w:p w14:paraId="0A37501D" w14:textId="77777777" w:rsidR="00CD5E5B" w:rsidRPr="0045163B" w:rsidRDefault="00CD5E5B">
      <w:pPr>
        <w:widowControl/>
        <w:pBdr>
          <w:top w:val="nil"/>
          <w:left w:val="nil"/>
          <w:bottom w:val="nil"/>
          <w:right w:val="nil"/>
          <w:between w:val="nil"/>
        </w:pBdr>
        <w:spacing w:before="120" w:after="120"/>
        <w:jc w:val="right"/>
        <w:rPr>
          <w:rFonts w:ascii="Arial" w:eastAsia="Arial" w:hAnsi="Arial" w:cs="Arial"/>
          <w:sz w:val="22"/>
          <w:szCs w:val="22"/>
          <w:lang w:val="en-US"/>
        </w:rPr>
      </w:pPr>
    </w:p>
    <w:p w14:paraId="3F5803D3"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APPROVED:</w:t>
      </w:r>
    </w:p>
    <w:p w14:paraId="5BAE589E"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AB LTG Infra</w:t>
      </w:r>
    </w:p>
    <w:p w14:paraId="5DAB6C7B"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b/>
      </w:r>
      <w:r w:rsidRPr="0045163B">
        <w:rPr>
          <w:rFonts w:ascii="Arial" w:eastAsia="Arial" w:hAnsi="Arial" w:cs="Arial"/>
          <w:sz w:val="22"/>
          <w:szCs w:val="22"/>
          <w:lang w:val="en-US"/>
        </w:rPr>
        <w:tab/>
      </w:r>
    </w:p>
    <w:p w14:paraId="02EB378F" w14:textId="77777777" w:rsidR="00CD5E5B" w:rsidRPr="0045163B" w:rsidRDefault="00CD5E5B">
      <w:pPr>
        <w:jc w:val="center"/>
        <w:rPr>
          <w:rFonts w:ascii="Arial" w:eastAsia="Arial" w:hAnsi="Arial" w:cs="Arial"/>
          <w:b/>
          <w:sz w:val="22"/>
          <w:szCs w:val="22"/>
          <w:lang w:val="en-US"/>
        </w:rPr>
      </w:pPr>
    </w:p>
    <w:p w14:paraId="339B35AA" w14:textId="77777777" w:rsidR="00CD5E5B" w:rsidRPr="0045163B" w:rsidRDefault="008D3F89">
      <w:pPr>
        <w:jc w:val="center"/>
        <w:rPr>
          <w:rFonts w:ascii="Arial" w:eastAsia="Arial" w:hAnsi="Arial" w:cs="Arial"/>
          <w:b/>
          <w:sz w:val="22"/>
          <w:szCs w:val="22"/>
          <w:lang w:val="en-US"/>
        </w:rPr>
      </w:pPr>
      <w:r w:rsidRPr="0045163B">
        <w:rPr>
          <w:rFonts w:ascii="Arial" w:eastAsia="Arial" w:hAnsi="Arial" w:cs="Arial"/>
          <w:b/>
          <w:sz w:val="22"/>
          <w:szCs w:val="22"/>
          <w:lang w:val="en-US"/>
        </w:rPr>
        <w:t>TECHNICAL TASK FOR STRUCTURE DESIGN</w:t>
      </w:r>
    </w:p>
    <w:p w14:paraId="48DFF7A5" w14:textId="77777777" w:rsidR="00CD5E5B" w:rsidRPr="0045163B" w:rsidRDefault="008D3F89">
      <w:pPr>
        <w:jc w:val="center"/>
        <w:rPr>
          <w:rFonts w:ascii="Arial" w:eastAsia="Arial" w:hAnsi="Arial" w:cs="Arial"/>
          <w:sz w:val="22"/>
          <w:szCs w:val="22"/>
          <w:lang w:val="en-US"/>
        </w:rPr>
      </w:pPr>
      <w:r w:rsidRPr="0045163B">
        <w:rPr>
          <w:rFonts w:ascii="Arial" w:eastAsia="Arial" w:hAnsi="Arial" w:cs="Arial"/>
          <w:sz w:val="22"/>
          <w:szCs w:val="22"/>
          <w:lang w:val="en-US"/>
        </w:rPr>
        <w:t>(TECHNICAL SPECIFICATION)</w:t>
      </w:r>
    </w:p>
    <w:p w14:paraId="6A05A809" w14:textId="77777777" w:rsidR="00CD5E5B" w:rsidRPr="0045163B" w:rsidRDefault="00CD5E5B">
      <w:pPr>
        <w:jc w:val="center"/>
        <w:rPr>
          <w:rFonts w:ascii="Arial" w:eastAsia="Arial" w:hAnsi="Arial" w:cs="Arial"/>
          <w:b/>
          <w:sz w:val="22"/>
          <w:szCs w:val="22"/>
          <w:lang w:val="en-US"/>
        </w:rPr>
      </w:pPr>
    </w:p>
    <w:p w14:paraId="1F6B4FB5" w14:textId="107D86CA" w:rsidR="00CD5E5B" w:rsidRPr="0045163B" w:rsidRDefault="008D3F89" w:rsidP="39D70F90">
      <w:pPr>
        <w:widowControl/>
        <w:pBdr>
          <w:top w:val="nil"/>
          <w:left w:val="nil"/>
          <w:bottom w:val="nil"/>
          <w:right w:val="nil"/>
          <w:between w:val="nil"/>
        </w:pBdr>
        <w:shd w:val="clear" w:color="auto" w:fill="FFFFFF" w:themeFill="background1"/>
        <w:ind w:left="-90"/>
        <w:jc w:val="center"/>
        <w:rPr>
          <w:rFonts w:ascii="Arial" w:eastAsia="Arial" w:hAnsi="Arial" w:cs="Arial"/>
          <w:b/>
          <w:bCs/>
          <w:sz w:val="22"/>
          <w:szCs w:val="22"/>
          <w:lang w:val="en-US"/>
        </w:rPr>
      </w:pPr>
      <w:r w:rsidRPr="0045163B">
        <w:rPr>
          <w:rFonts w:ascii="Arial" w:eastAsia="Arial" w:hAnsi="Arial" w:cs="Arial"/>
          <w:b/>
          <w:bCs/>
          <w:sz w:val="22"/>
          <w:szCs w:val="22"/>
          <w:lang w:val="en-US"/>
        </w:rPr>
        <w:t xml:space="preserve">SERVICES OF DESIGN AND </w:t>
      </w:r>
      <w:r w:rsidR="1F4F24A9" w:rsidRPr="0045163B">
        <w:rPr>
          <w:rFonts w:ascii="Arial" w:eastAsia="Arial" w:hAnsi="Arial" w:cs="Arial"/>
          <w:b/>
          <w:bCs/>
          <w:sz w:val="22"/>
          <w:szCs w:val="22"/>
          <w:lang w:val="en-US"/>
        </w:rPr>
        <w:t>DESIGN IMPLEMENTATION</w:t>
      </w:r>
      <w:r w:rsidRPr="0045163B">
        <w:rPr>
          <w:rFonts w:ascii="Arial" w:eastAsia="Arial" w:hAnsi="Arial" w:cs="Arial"/>
          <w:b/>
          <w:bCs/>
          <w:sz w:val="22"/>
          <w:szCs w:val="22"/>
          <w:lang w:val="en-US"/>
        </w:rPr>
        <w:t xml:space="preserve"> SUPERVISION OF THE RAIL BALTICA RAILWAY INFRASTRUCTURE MAINTENANCE DEPOT IN KAUNAS</w:t>
      </w:r>
    </w:p>
    <w:p w14:paraId="5A39BBE3" w14:textId="77777777" w:rsidR="00CD5E5B" w:rsidRPr="0045163B" w:rsidRDefault="00CD5E5B">
      <w:pPr>
        <w:widowControl/>
        <w:pBdr>
          <w:top w:val="nil"/>
          <w:left w:val="nil"/>
          <w:bottom w:val="nil"/>
          <w:right w:val="nil"/>
          <w:between w:val="nil"/>
        </w:pBdr>
        <w:shd w:val="clear" w:color="auto" w:fill="FFFFFF"/>
        <w:ind w:left="2640"/>
        <w:rPr>
          <w:rFonts w:ascii="Arial" w:eastAsia="Arial" w:hAnsi="Arial" w:cs="Arial"/>
          <w:sz w:val="22"/>
          <w:szCs w:val="22"/>
          <w:lang w:val="en-US"/>
        </w:rPr>
      </w:pPr>
    </w:p>
    <w:p w14:paraId="41C8F396" w14:textId="77777777" w:rsidR="00CD5E5B" w:rsidRPr="0045163B" w:rsidRDefault="00CD5E5B">
      <w:pPr>
        <w:shd w:val="clear" w:color="auto" w:fill="FFFFFF"/>
        <w:jc w:val="both"/>
        <w:rPr>
          <w:rFonts w:ascii="Arial" w:eastAsia="Arial" w:hAnsi="Arial" w:cs="Arial"/>
          <w:sz w:val="22"/>
          <w:szCs w:val="22"/>
          <w:lang w:val="en-US"/>
        </w:rPr>
      </w:pPr>
    </w:p>
    <w:tbl>
      <w:tblPr>
        <w:tblW w:w="14832"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1"/>
        <w:gridCol w:w="1806"/>
        <w:gridCol w:w="12325"/>
      </w:tblGrid>
      <w:tr w:rsidR="009310C1" w:rsidRPr="0045163B" w14:paraId="6152CB18" w14:textId="77777777" w:rsidTr="00655ADD">
        <w:trPr>
          <w:tblHead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CD877" w14:textId="77777777" w:rsidR="00CD5E5B" w:rsidRPr="0045163B" w:rsidRDefault="0005601E">
            <w:pPr>
              <w:shd w:val="clear" w:color="auto" w:fill="FFFFFF"/>
              <w:spacing w:line="276" w:lineRule="auto"/>
              <w:jc w:val="both"/>
              <w:rPr>
                <w:rFonts w:ascii="Arial" w:eastAsia="Arial" w:hAnsi="Arial" w:cs="Arial"/>
                <w:b/>
                <w:sz w:val="16"/>
                <w:szCs w:val="16"/>
                <w:lang w:val="en-US"/>
              </w:rPr>
            </w:pPr>
            <w:r w:rsidRPr="0045163B">
              <w:rPr>
                <w:rFonts w:ascii="Arial" w:eastAsia="Arial" w:hAnsi="Arial" w:cs="Arial"/>
                <w:b/>
                <w:sz w:val="16"/>
                <w:szCs w:val="16"/>
                <w:lang w:val="en-US"/>
              </w:rPr>
              <w:t>Serial No.</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D10AE"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Title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E018C"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Requirements</w:t>
            </w:r>
          </w:p>
        </w:tc>
      </w:tr>
      <w:tr w:rsidR="009310C1" w:rsidRPr="0045163B" w14:paraId="729B6C1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3D3EC" w14:textId="77777777" w:rsidR="00CD5E5B" w:rsidRPr="0045163B" w:rsidRDefault="00CD5E5B">
            <w:pPr>
              <w:shd w:val="clear" w:color="auto" w:fill="FFFFFF"/>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D2FBB"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 xml:space="preserve">I. General information about the </w:t>
            </w:r>
            <w:r w:rsidR="000958C8" w:rsidRPr="0045163B">
              <w:rPr>
                <w:rFonts w:ascii="Arial" w:eastAsia="Arial" w:hAnsi="Arial" w:cs="Arial"/>
                <w:b/>
                <w:sz w:val="22"/>
                <w:szCs w:val="22"/>
                <w:lang w:val="en-US"/>
              </w:rPr>
              <w:t>procurement object</w:t>
            </w:r>
          </w:p>
        </w:tc>
      </w:tr>
      <w:tr w:rsidR="009310C1" w:rsidRPr="0045163B" w14:paraId="769F87D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CBF0"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25C62" w14:textId="77777777" w:rsidR="00CD5E5B" w:rsidRPr="0045163B" w:rsidRDefault="008D3F89">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Builder (Customer)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1774CD"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AB LTG Infra</w:t>
            </w:r>
          </w:p>
        </w:tc>
      </w:tr>
      <w:tr w:rsidR="009310C1" w:rsidRPr="0045163B" w14:paraId="798E506E"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86996"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E6E80" w14:textId="77777777" w:rsidR="00CD5E5B" w:rsidRPr="0045163B" w:rsidRDefault="000958C8">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Procurement object</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5AB0F9" w14:textId="208A38F3" w:rsidR="00CD5E5B" w:rsidRPr="0045163B" w:rsidRDefault="000958C8" w:rsidP="2F1DF3C8">
            <w:pPr>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 xml:space="preserve">Services of design and  </w:t>
            </w:r>
            <w:r w:rsidR="008D0185" w:rsidRPr="0045163B">
              <w:rPr>
                <w:rFonts w:ascii="Arial" w:eastAsia="Arial" w:hAnsi="Arial" w:cs="Arial"/>
                <w:sz w:val="22"/>
                <w:szCs w:val="22"/>
                <w:lang w:val="en-US"/>
              </w:rPr>
              <w:t xml:space="preserve">design </w:t>
            </w:r>
            <w:r w:rsidR="4A2A5AE4" w:rsidRPr="0045163B">
              <w:rPr>
                <w:rFonts w:ascii="Arial" w:eastAsia="Arial" w:hAnsi="Arial" w:cs="Arial"/>
                <w:sz w:val="22"/>
                <w:szCs w:val="22"/>
                <w:lang w:val="en-US"/>
              </w:rPr>
              <w:t xml:space="preserve">implementation </w:t>
            </w:r>
            <w:r w:rsidRPr="0045163B">
              <w:rPr>
                <w:rFonts w:ascii="Arial" w:eastAsia="Arial" w:hAnsi="Arial" w:cs="Arial"/>
                <w:sz w:val="22"/>
                <w:szCs w:val="22"/>
                <w:lang w:val="en-US"/>
              </w:rPr>
              <w:t xml:space="preserve">supervision of </w:t>
            </w:r>
            <w:r w:rsidR="008D3F89" w:rsidRPr="0045163B">
              <w:rPr>
                <w:rFonts w:ascii="Arial" w:eastAsia="Arial" w:hAnsi="Arial" w:cs="Arial"/>
                <w:sz w:val="22"/>
                <w:szCs w:val="22"/>
                <w:lang w:val="en-US"/>
              </w:rPr>
              <w:t>Kaunas</w:t>
            </w:r>
            <w:r w:rsidR="00327092" w:rsidRPr="0045163B">
              <w:rPr>
                <w:rFonts w:ascii="Arial" w:eastAsia="Arial" w:hAnsi="Arial" w:cs="Arial"/>
                <w:sz w:val="22"/>
                <w:szCs w:val="22"/>
                <w:lang w:val="en-US"/>
              </w:rPr>
              <w:t xml:space="preserve"> railway infrastructure maintenance depot (facility)</w:t>
            </w:r>
            <w:r w:rsidR="008D3F89" w:rsidRPr="0045163B">
              <w:rPr>
                <w:rFonts w:ascii="Arial" w:eastAsia="Arial" w:hAnsi="Arial" w:cs="Arial"/>
                <w:sz w:val="22"/>
                <w:szCs w:val="22"/>
                <w:lang w:val="en-US"/>
              </w:rPr>
              <w:t xml:space="preserve">, i.e. preparation of all technical documentation required for obtaining a construction permit document, preparation of a </w:t>
            </w:r>
            <w:r w:rsidR="00446E0B" w:rsidRPr="0045163B">
              <w:rPr>
                <w:rFonts w:ascii="Arial" w:eastAsia="Arial" w:hAnsi="Arial" w:cs="Arial"/>
                <w:sz w:val="22"/>
                <w:szCs w:val="22"/>
                <w:lang w:val="en-US"/>
              </w:rPr>
              <w:t xml:space="preserve">Master detailed </w:t>
            </w:r>
            <w:r w:rsidR="008D3F89" w:rsidRPr="0045163B">
              <w:rPr>
                <w:rFonts w:ascii="Arial" w:eastAsia="Arial" w:hAnsi="Arial" w:cs="Arial"/>
                <w:sz w:val="22"/>
                <w:szCs w:val="22"/>
                <w:lang w:val="en-US"/>
              </w:rPr>
              <w:t xml:space="preserve">technical </w:t>
            </w:r>
            <w:r w:rsidR="003672FA" w:rsidRPr="0045163B">
              <w:rPr>
                <w:rFonts w:ascii="Arial" w:eastAsia="Arial" w:hAnsi="Arial" w:cs="Arial"/>
                <w:sz w:val="22"/>
                <w:szCs w:val="22"/>
                <w:lang w:val="en-US"/>
              </w:rPr>
              <w:t>design</w:t>
            </w:r>
            <w:r w:rsidR="008D3F89" w:rsidRPr="0045163B">
              <w:rPr>
                <w:rFonts w:ascii="Arial" w:eastAsia="Arial" w:hAnsi="Arial" w:cs="Arial"/>
                <w:sz w:val="22"/>
                <w:szCs w:val="22"/>
                <w:lang w:val="en-US"/>
              </w:rPr>
              <w:t xml:space="preserve"> as well as supervision of the </w:t>
            </w:r>
            <w:r w:rsidR="00017581" w:rsidRPr="0045163B">
              <w:rPr>
                <w:rFonts w:ascii="Arial" w:eastAsia="Arial" w:hAnsi="Arial" w:cs="Arial"/>
                <w:sz w:val="22"/>
                <w:szCs w:val="22"/>
                <w:lang w:val="en-US"/>
              </w:rPr>
              <w:t xml:space="preserve">implementation </w:t>
            </w:r>
            <w:r w:rsidR="008D3F89" w:rsidRPr="0045163B">
              <w:rPr>
                <w:rFonts w:ascii="Arial" w:eastAsia="Arial" w:hAnsi="Arial" w:cs="Arial"/>
                <w:sz w:val="22"/>
                <w:szCs w:val="22"/>
                <w:lang w:val="en-US"/>
              </w:rPr>
              <w:t>of the structural project during the construction phase, which is mandatory and whose execution procedure is regulated by</w:t>
            </w:r>
            <w:r w:rsidR="00812E10" w:rsidRPr="0045163B">
              <w:rPr>
                <w:rFonts w:ascii="Arial" w:eastAsia="Arial" w:hAnsi="Arial" w:cs="Arial"/>
                <w:sz w:val="22"/>
                <w:szCs w:val="22"/>
                <w:lang w:val="en-US"/>
              </w:rPr>
              <w:t xml:space="preserve"> EU and Lithuanian</w:t>
            </w:r>
            <w:r w:rsidR="008D3F89" w:rsidRPr="0045163B">
              <w:rPr>
                <w:rFonts w:ascii="Arial" w:eastAsia="Arial" w:hAnsi="Arial" w:cs="Arial"/>
                <w:sz w:val="22"/>
                <w:szCs w:val="22"/>
                <w:lang w:val="en-US"/>
              </w:rPr>
              <w:t xml:space="preserve"> legal acts</w:t>
            </w:r>
            <w:r w:rsidR="008245F6" w:rsidRPr="0045163B">
              <w:rPr>
                <w:rFonts w:ascii="Arial" w:eastAsia="Arial" w:hAnsi="Arial" w:cs="Arial"/>
                <w:sz w:val="22"/>
                <w:szCs w:val="22"/>
                <w:lang w:val="en-US"/>
              </w:rPr>
              <w:t>, EN and ISO standards.</w:t>
            </w:r>
          </w:p>
        </w:tc>
      </w:tr>
      <w:tr w:rsidR="009310C1" w:rsidRPr="0045163B" w14:paraId="0E64480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5A9DD"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38FB0" w14:textId="77777777" w:rsidR="00CD5E5B" w:rsidRPr="0045163B" w:rsidRDefault="008D3F89">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Name of the project</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C3A0AA" w14:textId="77777777" w:rsidR="00CD5E5B" w:rsidRPr="0045163B" w:rsidRDefault="000958C8">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Rail Baltica Project: Construction Project of Railway Infrastructure Maintenance Depot in</w:t>
            </w:r>
            <w:r w:rsidR="008D3F89" w:rsidRPr="0045163B">
              <w:rPr>
                <w:rFonts w:ascii="Arial" w:eastAsia="Arial" w:hAnsi="Arial" w:cs="Arial"/>
                <w:i/>
                <w:sz w:val="22"/>
                <w:szCs w:val="22"/>
                <w:lang w:val="en-US"/>
              </w:rPr>
              <w:t xml:space="preserve"> Kaunas.  </w:t>
            </w:r>
            <w:r w:rsidRPr="0045163B">
              <w:rPr>
                <w:rFonts w:ascii="Arial" w:eastAsia="Arial" w:hAnsi="Arial" w:cs="Arial"/>
                <w:sz w:val="22"/>
                <w:szCs w:val="22"/>
                <w:lang w:val="en-US"/>
              </w:rPr>
              <w:t xml:space="preserve">CPV code – 71320000-7 </w:t>
            </w:r>
            <w:r w:rsidR="00B748D4" w:rsidRPr="0045163B">
              <w:rPr>
                <w:rFonts w:ascii="Arial" w:eastAsia="Arial" w:hAnsi="Arial" w:cs="Arial"/>
                <w:sz w:val="22"/>
                <w:szCs w:val="22"/>
                <w:lang w:val="en-US"/>
              </w:rPr>
              <w:t>“</w:t>
            </w:r>
            <w:r w:rsidRPr="0045163B">
              <w:rPr>
                <w:rFonts w:ascii="Arial" w:eastAsia="Arial" w:hAnsi="Arial" w:cs="Arial"/>
                <w:sz w:val="22"/>
                <w:szCs w:val="22"/>
                <w:lang w:val="en-US"/>
              </w:rPr>
              <w:t>Engineering design services</w:t>
            </w:r>
            <w:r w:rsidR="00B748D4" w:rsidRPr="0045163B">
              <w:rPr>
                <w:rFonts w:ascii="Arial" w:eastAsia="Arial" w:hAnsi="Arial" w:cs="Arial"/>
                <w:sz w:val="22"/>
                <w:szCs w:val="22"/>
                <w:lang w:val="en-US"/>
              </w:rPr>
              <w:t>”</w:t>
            </w:r>
          </w:p>
          <w:p w14:paraId="51E7D20B" w14:textId="77777777" w:rsidR="00CD5E5B" w:rsidRPr="0045163B" w:rsidRDefault="008D3F89" w:rsidP="000958C8">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 xml:space="preserve">Note: The name of the </w:t>
            </w:r>
            <w:r w:rsidR="000958C8" w:rsidRPr="0045163B">
              <w:rPr>
                <w:rFonts w:ascii="Arial" w:eastAsia="Arial" w:hAnsi="Arial" w:cs="Arial"/>
                <w:i/>
                <w:sz w:val="22"/>
                <w:szCs w:val="22"/>
                <w:lang w:val="en-US"/>
              </w:rPr>
              <w:t>structure</w:t>
            </w:r>
            <w:r w:rsidRPr="0045163B">
              <w:rPr>
                <w:rFonts w:ascii="Arial" w:eastAsia="Arial" w:hAnsi="Arial" w:cs="Arial"/>
                <w:i/>
                <w:sz w:val="22"/>
                <w:szCs w:val="22"/>
                <w:lang w:val="en-US"/>
              </w:rPr>
              <w:t xml:space="preserve"> project is specified by the designer during the project preparation.</w:t>
            </w:r>
          </w:p>
        </w:tc>
      </w:tr>
      <w:tr w:rsidR="009310C1" w:rsidRPr="0045163B" w14:paraId="10B91B2B"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ABB3F"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B1E0B" w14:textId="0B0F3B92" w:rsidR="00CD5E5B" w:rsidRPr="0045163B" w:rsidRDefault="008D3F89" w:rsidP="63D1530E">
            <w:pPr>
              <w:shd w:val="clear" w:color="auto" w:fill="FFFFFF" w:themeFill="background1"/>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Address of the </w:t>
            </w:r>
            <w:r w:rsidR="2FB6F953" w:rsidRPr="0045163B">
              <w:rPr>
                <w:rFonts w:ascii="Arial" w:eastAsia="Arial" w:hAnsi="Arial" w:cs="Arial"/>
                <w:sz w:val="22"/>
                <w:szCs w:val="22"/>
                <w:lang w:val="en-US"/>
              </w:rPr>
              <w:t>structure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063B81" w14:textId="6FFC21EB" w:rsidR="00CD5E5B" w:rsidRPr="0045163B" w:rsidRDefault="008D3F89" w:rsidP="30A44A03">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Territories of Kaunas </w:t>
            </w:r>
            <w:r w:rsidR="000958C8" w:rsidRPr="0045163B">
              <w:rPr>
                <w:rFonts w:ascii="Arial" w:eastAsia="Arial" w:hAnsi="Arial" w:cs="Arial"/>
                <w:sz w:val="22"/>
                <w:szCs w:val="22"/>
                <w:lang w:val="en-US"/>
              </w:rPr>
              <w:t>District M</w:t>
            </w:r>
            <w:r w:rsidRPr="0045163B">
              <w:rPr>
                <w:rFonts w:ascii="Arial" w:eastAsia="Arial" w:hAnsi="Arial" w:cs="Arial"/>
                <w:sz w:val="22"/>
                <w:szCs w:val="22"/>
                <w:lang w:val="en-US"/>
              </w:rPr>
              <w:t xml:space="preserve">unicipality and </w:t>
            </w:r>
            <w:proofErr w:type="spellStart"/>
            <w:r w:rsidRPr="0045163B">
              <w:rPr>
                <w:rFonts w:ascii="Arial" w:eastAsia="Arial" w:hAnsi="Arial" w:cs="Arial"/>
                <w:sz w:val="22"/>
                <w:szCs w:val="22"/>
                <w:lang w:val="en-US"/>
              </w:rPr>
              <w:t>Jonava</w:t>
            </w:r>
            <w:proofErr w:type="spellEnd"/>
            <w:r w:rsidRPr="0045163B">
              <w:rPr>
                <w:rFonts w:ascii="Arial" w:eastAsia="Arial" w:hAnsi="Arial" w:cs="Arial"/>
                <w:sz w:val="22"/>
                <w:szCs w:val="22"/>
                <w:lang w:val="en-US"/>
              </w:rPr>
              <w:t xml:space="preserve"> </w:t>
            </w:r>
            <w:r w:rsidR="000958C8" w:rsidRPr="0045163B">
              <w:rPr>
                <w:rFonts w:ascii="Arial" w:eastAsia="Arial" w:hAnsi="Arial" w:cs="Arial"/>
                <w:sz w:val="22"/>
                <w:szCs w:val="22"/>
                <w:lang w:val="en-US"/>
              </w:rPr>
              <w:t>District M</w:t>
            </w:r>
            <w:r w:rsidRPr="0045163B">
              <w:rPr>
                <w:rFonts w:ascii="Arial" w:eastAsia="Arial" w:hAnsi="Arial" w:cs="Arial"/>
                <w:sz w:val="22"/>
                <w:szCs w:val="22"/>
                <w:lang w:val="en-US"/>
              </w:rPr>
              <w:t>unicipality, Lithuania (</w:t>
            </w:r>
            <w:proofErr w:type="spellStart"/>
            <w:r w:rsidRPr="0045163B">
              <w:rPr>
                <w:rFonts w:ascii="Arial" w:eastAsia="Arial" w:hAnsi="Arial" w:cs="Arial"/>
                <w:sz w:val="22"/>
                <w:szCs w:val="22"/>
                <w:lang w:val="en-US"/>
              </w:rPr>
              <w:t>Karmėlava</w:t>
            </w:r>
            <w:proofErr w:type="spellEnd"/>
            <w:r w:rsidRPr="0045163B">
              <w:rPr>
                <w:rFonts w:ascii="Arial" w:eastAsia="Arial" w:hAnsi="Arial" w:cs="Arial"/>
                <w:sz w:val="22"/>
                <w:szCs w:val="22"/>
                <w:lang w:val="en-US"/>
              </w:rPr>
              <w:t xml:space="preserve"> village, </w:t>
            </w:r>
            <w:proofErr w:type="spellStart"/>
            <w:r w:rsidRPr="0045163B">
              <w:rPr>
                <w:rFonts w:ascii="Arial" w:eastAsia="Arial" w:hAnsi="Arial" w:cs="Arial"/>
                <w:sz w:val="22"/>
                <w:szCs w:val="22"/>
                <w:lang w:val="en-US"/>
              </w:rPr>
              <w:t>Užusaliai</w:t>
            </w:r>
            <w:proofErr w:type="spellEnd"/>
            <w:r w:rsidRPr="0045163B">
              <w:rPr>
                <w:rFonts w:ascii="Arial" w:eastAsia="Arial" w:hAnsi="Arial" w:cs="Arial"/>
                <w:sz w:val="22"/>
                <w:szCs w:val="22"/>
                <w:lang w:val="en-US"/>
              </w:rPr>
              <w:t xml:space="preserve"> village).</w:t>
            </w:r>
          </w:p>
        </w:tc>
      </w:tr>
      <w:tr w:rsidR="0055261E" w:rsidRPr="0045163B" w14:paraId="7B63B134" w14:textId="77777777" w:rsidTr="00655ADD">
        <w:trPr>
          <w:trHeight w:val="38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72689"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EBB8B"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5.1. Composition of the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967730"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Transport communications:</w:t>
            </w:r>
          </w:p>
          <w:p w14:paraId="71675CA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5.1.1. Railway tracks, internal depot tracks, footpaths and approaches, roads.</w:t>
            </w:r>
          </w:p>
          <w:p w14:paraId="255B5CCC"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Non-residential buildings:</w:t>
            </w:r>
          </w:p>
          <w:p w14:paraId="3D03D301"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5.1.2. Buildings with their structural, architectural and engineering aspects.</w:t>
            </w:r>
          </w:p>
          <w:p w14:paraId="56C29F7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5.1.3. Building engineering networks (lighting, water supply, sewage disposal, electronic communications </w:t>
            </w:r>
            <w:r w:rsidRPr="0045163B">
              <w:rPr>
                <w:rFonts w:ascii="Arial" w:eastAsia="Arial" w:hAnsi="Arial" w:cs="Arial"/>
                <w:sz w:val="22"/>
                <w:szCs w:val="22"/>
                <w:lang w:val="en-US"/>
              </w:rPr>
              <w:lastRenderedPageBreak/>
              <w:t>(telecommunications), security alarm, fire detection and signaling, heating, ventilation, etc.) and their connections to existing engineering networks.</w:t>
            </w:r>
          </w:p>
          <w:p w14:paraId="036D34E3"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Engineering networks (utilities):</w:t>
            </w:r>
          </w:p>
          <w:p w14:paraId="0F929DF8"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5.1.4.  Rainwater collection and drainage networks (utilities).</w:t>
            </w:r>
          </w:p>
          <w:p w14:paraId="06C2DAB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5.1.5. Electric lighting networks (utilities) with their connection to the power source.</w:t>
            </w:r>
          </w:p>
          <w:p w14:paraId="7C4E1524"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5.1.6. Electric networks (utilities), for ensuring the second (II) reliability category. </w:t>
            </w:r>
          </w:p>
          <w:p w14:paraId="5A8E04C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5.1.7.  Outdoor water supply </w:t>
            </w:r>
            <w:proofErr w:type="spellStart"/>
            <w:r w:rsidRPr="0045163B">
              <w:rPr>
                <w:rFonts w:ascii="Arial" w:eastAsia="Arial" w:hAnsi="Arial" w:cs="Arial"/>
                <w:sz w:val="22"/>
                <w:szCs w:val="22"/>
                <w:lang w:val="en-US"/>
              </w:rPr>
              <w:t>nd</w:t>
            </w:r>
            <w:proofErr w:type="spellEnd"/>
            <w:r w:rsidRPr="0045163B">
              <w:rPr>
                <w:rFonts w:ascii="Arial" w:eastAsia="Arial" w:hAnsi="Arial" w:cs="Arial"/>
                <w:sz w:val="22"/>
                <w:szCs w:val="22"/>
                <w:lang w:val="en-US"/>
              </w:rPr>
              <w:t xml:space="preserve"> sewage disposal networks.</w:t>
            </w:r>
          </w:p>
          <w:p w14:paraId="155A4C7E" w14:textId="77777777" w:rsidR="0055261E" w:rsidRPr="0045163B" w:rsidRDefault="0055261E" w:rsidP="0055261E">
            <w:p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5.1.8. Protection or elevation of existing engineering networks (electronic communications, electricity, water supply, sewage disposal, reclamation, etc.).</w:t>
            </w:r>
          </w:p>
          <w:p w14:paraId="44353D76"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5.1.9. Gas networks.</w:t>
            </w:r>
          </w:p>
          <w:p w14:paraId="4983C0D7" w14:textId="285CB4DD"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5.1.10. Additional fencing and alarm </w:t>
            </w:r>
            <w:r w:rsidR="00655ADD" w:rsidRPr="0045163B">
              <w:rPr>
                <w:rFonts w:ascii="Arial" w:eastAsia="Arial" w:hAnsi="Arial" w:cs="Arial"/>
                <w:sz w:val="22"/>
                <w:szCs w:val="22"/>
                <w:lang w:val="en-US"/>
              </w:rPr>
              <w:t>work</w:t>
            </w:r>
            <w:r w:rsidRPr="0045163B">
              <w:rPr>
                <w:rFonts w:ascii="Arial" w:eastAsia="Arial" w:hAnsi="Arial" w:cs="Arial"/>
                <w:sz w:val="22"/>
                <w:szCs w:val="22"/>
                <w:lang w:val="en-US"/>
              </w:rPr>
              <w:t>.</w:t>
            </w:r>
          </w:p>
          <w:p w14:paraId="5E89E44D"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5.1.11. Communication (telecommunications) networks.</w:t>
            </w:r>
          </w:p>
          <w:p w14:paraId="6B0842E6" w14:textId="77777777" w:rsidR="0055261E" w:rsidRPr="0045163B" w:rsidRDefault="0055261E" w:rsidP="0055261E">
            <w:pPr>
              <w:shd w:val="clear" w:color="auto" w:fill="FFFFFF" w:themeFill="background1"/>
              <w:spacing w:line="276" w:lineRule="auto"/>
              <w:jc w:val="both"/>
              <w:rPr>
                <w:rFonts w:ascii="Arial" w:eastAsia="Arial" w:hAnsi="Arial" w:cs="Arial"/>
                <w:i/>
                <w:iCs/>
                <w:sz w:val="22"/>
                <w:szCs w:val="22"/>
                <w:lang w:val="en-US"/>
              </w:rPr>
            </w:pPr>
            <w:r w:rsidRPr="0045163B">
              <w:rPr>
                <w:rFonts w:ascii="Arial" w:eastAsia="Arial" w:hAnsi="Arial" w:cs="Arial"/>
                <w:sz w:val="22"/>
                <w:szCs w:val="22"/>
                <w:lang w:val="en-US"/>
              </w:rPr>
              <w:t>5.1.12. Other engineering structures.</w:t>
            </w:r>
          </w:p>
          <w:p w14:paraId="36FB651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Note. Please note that in addition to the list of core experts, the following specialists may be required: </w:t>
            </w:r>
          </w:p>
          <w:p w14:paraId="6562272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Cultural Heritage Specialist. </w:t>
            </w:r>
          </w:p>
          <w:p w14:paraId="0184F06B"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A specialist/engineer in transport communications (roads); </w:t>
            </w:r>
          </w:p>
          <w:p w14:paraId="6407E5E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Geological specialist/engineer. </w:t>
            </w:r>
          </w:p>
          <w:p w14:paraId="1E0BAF21" w14:textId="3A537408"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Geodesy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414A4C9F" w14:textId="4C5F8B6A"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Environmental and Sustainability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5A6A3C1D" w14:textId="78A9076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Noise Prevention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389101E6" w14:textId="6CE204D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Vibration Prevention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2E029478" w14:textId="5D080D65"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Hydrotechnical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3406971C" w14:textId="044566CC"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BIM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7BDFED00" w14:textId="15D91F32"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GIS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5894256A" w14:textId="7ABFFAE6"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 for the costing part of the construction </w:t>
            </w:r>
            <w:r w:rsidR="00655ADD" w:rsidRPr="0045163B">
              <w:rPr>
                <w:rFonts w:ascii="Arial" w:eastAsia="Arial" w:hAnsi="Arial" w:cs="Arial"/>
                <w:sz w:val="22"/>
                <w:szCs w:val="22"/>
                <w:lang w:val="en-US"/>
              </w:rPr>
              <w:t>costing.</w:t>
            </w:r>
            <w:r w:rsidRPr="0045163B">
              <w:rPr>
                <w:rFonts w:ascii="Arial" w:eastAsia="Arial" w:hAnsi="Arial" w:cs="Arial"/>
                <w:sz w:val="22"/>
                <w:szCs w:val="22"/>
                <w:lang w:val="en-US"/>
              </w:rPr>
              <w:t xml:space="preserve"> </w:t>
            </w:r>
          </w:p>
          <w:p w14:paraId="466C3CA2" w14:textId="406D0B60"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Pre-construction and construction </w:t>
            </w:r>
            <w:r w:rsidR="00740905" w:rsidRPr="0045163B">
              <w:rPr>
                <w:rFonts w:ascii="Arial" w:eastAsia="Arial" w:hAnsi="Arial" w:cs="Arial"/>
                <w:sz w:val="22"/>
                <w:szCs w:val="22"/>
                <w:lang w:val="en-US"/>
              </w:rPr>
              <w:t>organization</w:t>
            </w:r>
            <w:r w:rsidRPr="0045163B">
              <w:rPr>
                <w:rFonts w:ascii="Arial" w:eastAsia="Arial" w:hAnsi="Arial" w:cs="Arial"/>
                <w:sz w:val="22"/>
                <w:szCs w:val="22"/>
                <w:lang w:val="en-US"/>
              </w:rPr>
              <w:t xml:space="preserve">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415EE69F" w14:textId="775FC3C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w:t>
            </w:r>
            <w:r w:rsidR="00655ADD" w:rsidRPr="0045163B">
              <w:rPr>
                <w:rFonts w:ascii="Arial" w:eastAsia="Arial" w:hAnsi="Arial" w:cs="Arial"/>
                <w:sz w:val="22"/>
                <w:szCs w:val="22"/>
                <w:lang w:val="en-US"/>
              </w:rPr>
              <w:t>Architect.</w:t>
            </w:r>
            <w:r w:rsidRPr="0045163B">
              <w:rPr>
                <w:rFonts w:ascii="Arial" w:eastAsia="Arial" w:hAnsi="Arial" w:cs="Arial"/>
                <w:sz w:val="22"/>
                <w:szCs w:val="22"/>
                <w:lang w:val="en-US"/>
              </w:rPr>
              <w:t xml:space="preserve"> </w:t>
            </w:r>
          </w:p>
          <w:p w14:paraId="70C23E72" w14:textId="2F4680C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HVAC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66E28FB3" w14:textId="2C0199B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Fire safety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1CAFC2A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Security Alarm Specialist/Engineer; </w:t>
            </w:r>
          </w:p>
          <w:p w14:paraId="1DCA9D51"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Fire detection and alarm specialist/engineer;  </w:t>
            </w:r>
          </w:p>
          <w:p w14:paraId="0101E57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Train Maintenance Infrastructure Technologist/Specialist; </w:t>
            </w:r>
          </w:p>
          <w:p w14:paraId="40CC2905"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Quality Assurance Specialist; </w:t>
            </w:r>
          </w:p>
          <w:p w14:paraId="734E802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expert; </w:t>
            </w:r>
          </w:p>
          <w:p w14:paraId="25974D95"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Reclamation Structures Specialist/Engineer; </w:t>
            </w:r>
          </w:p>
          <w:p w14:paraId="388818E2"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Electrical Engineering Network Specialist/Engineer;  </w:t>
            </w:r>
          </w:p>
          <w:p w14:paraId="582F6214"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Gas Engineering Network Specialist/Engineer; </w:t>
            </w:r>
          </w:p>
          <w:p w14:paraId="2CD27A26"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Water supply and wastewater network specialist/engineer; </w:t>
            </w:r>
          </w:p>
          <w:p w14:paraId="21A4D85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Electronic communications and telecommunications specialist/engineer; </w:t>
            </w:r>
          </w:p>
          <w:p w14:paraId="4C0BBDCC"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Specialist/engineer in other engineering networks; </w:t>
            </w:r>
          </w:p>
          <w:p w14:paraId="797D062F"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Specialist/engineer for transport structures (bridges, viaducts, tunnels, etc.); </w:t>
            </w:r>
          </w:p>
          <w:p w14:paraId="4C63396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Geotechnical specialist/engineer;  </w:t>
            </w:r>
          </w:p>
          <w:p w14:paraId="159EEA49"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Specialist/Engineer (1435 mm and 1520 mm gauge); </w:t>
            </w:r>
          </w:p>
          <w:p w14:paraId="0C8EA446"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Cable duct specialist/engineer; </w:t>
            </w:r>
          </w:p>
          <w:p w14:paraId="5740DC4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Traffic Signal Specialist (1435 mm and 1520 mm gauge); </w:t>
            </w:r>
          </w:p>
          <w:p w14:paraId="6E4FA19A"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catenary specialist/engineer (1435 mm and 1520 mm gauge); </w:t>
            </w:r>
          </w:p>
          <w:p w14:paraId="7FF77CEA"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Traffic Management Specialist (1435 mm and 1520 mm gauge); </w:t>
            </w:r>
          </w:p>
          <w:p w14:paraId="5480137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Process Control and Automation Specialist; </w:t>
            </w:r>
          </w:p>
          <w:p w14:paraId="5077C32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Systems Engineering Management Specialist; </w:t>
            </w:r>
          </w:p>
          <w:p w14:paraId="1D87745C"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Interface Management Specialist; - Reliability, Availability, Maintainability, and Safety (RAMS) Engineer; </w:t>
            </w:r>
          </w:p>
          <w:p w14:paraId="7087AD2F"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Document Management Specialist; </w:t>
            </w:r>
          </w:p>
          <w:p w14:paraId="40503DCE" w14:textId="2E7F75F7" w:rsidR="0055261E" w:rsidRPr="0045163B" w:rsidRDefault="0055261E" w:rsidP="00740905">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Other specialists needed to ensure the preparation of the master detailed technical design in accordance with applicable legislation. </w:t>
            </w:r>
          </w:p>
        </w:tc>
      </w:tr>
      <w:tr w:rsidR="0055261E" w:rsidRPr="0045163B" w14:paraId="3D8BFFEE" w14:textId="77777777" w:rsidTr="00655ADD">
        <w:trPr>
          <w:trHeight w:val="38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B940D"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7C357"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5.2. Intended activity </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073939" w14:textId="77777777" w:rsidR="0055261E" w:rsidRPr="0045163B" w:rsidRDefault="0055261E" w:rsidP="0055261E">
            <w:pPr>
              <w:rPr>
                <w:rFonts w:ascii="Arial" w:eastAsia="Arial" w:hAnsi="Arial" w:cs="Arial"/>
                <w:i/>
                <w:sz w:val="22"/>
                <w:szCs w:val="22"/>
                <w:lang w:val="en-US"/>
              </w:rPr>
            </w:pPr>
            <w:r w:rsidRPr="0045163B">
              <w:rPr>
                <w:rFonts w:ascii="Arial" w:eastAsia="Arial" w:hAnsi="Arial" w:cs="Arial"/>
                <w:i/>
                <w:sz w:val="22"/>
                <w:szCs w:val="22"/>
                <w:lang w:val="en-US"/>
              </w:rPr>
              <w:t xml:space="preserve">Railway infrastructure maintenance depot in Kaunas, where is performed: </w:t>
            </w:r>
          </w:p>
          <w:p w14:paraId="2DFF878A" w14:textId="77777777"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 xml:space="preserve">Servicing of rolling stock (repair of equipment for maintenance and servicing of infrastructure), </w:t>
            </w:r>
          </w:p>
          <w:p w14:paraId="2C81372E" w14:textId="77777777"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 xml:space="preserve">Standby and servicing of special equipment (storage and maintenance of fire and rescue trains) </w:t>
            </w:r>
          </w:p>
          <w:p w14:paraId="08927FAC" w14:textId="56191C62"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Storage of materials (turnouts, sleepers, rails, etc. materials).</w:t>
            </w:r>
          </w:p>
          <w:p w14:paraId="6FE0F94C" w14:textId="1693584D" w:rsidR="0055261E" w:rsidRPr="0045163B" w:rsidRDefault="0055261E" w:rsidP="00925080">
            <w:pPr>
              <w:widowControl/>
              <w:numPr>
                <w:ilvl w:val="2"/>
                <w:numId w:val="7"/>
              </w:numPr>
              <w:pBdr>
                <w:top w:val="nil"/>
                <w:left w:val="nil"/>
                <w:bottom w:val="nil"/>
                <w:right w:val="nil"/>
                <w:between w:val="nil"/>
              </w:pBdr>
              <w:spacing w:after="160" w:line="252" w:lineRule="auto"/>
              <w:rPr>
                <w:rFonts w:ascii="Arial" w:eastAsia="Arial" w:hAnsi="Arial" w:cs="Arial"/>
                <w:sz w:val="22"/>
                <w:szCs w:val="22"/>
                <w:lang w:val="en-US"/>
              </w:rPr>
            </w:pPr>
            <w:r w:rsidRPr="0045163B">
              <w:rPr>
                <w:rFonts w:ascii="Arial" w:eastAsia="Arial" w:hAnsi="Arial" w:cs="Arial"/>
                <w:sz w:val="22"/>
                <w:szCs w:val="22"/>
                <w:lang w:val="en-US"/>
              </w:rPr>
              <w:t>Administrative activities.</w:t>
            </w:r>
          </w:p>
          <w:p w14:paraId="1DD88B93" w14:textId="41CF6F06" w:rsidR="0055261E" w:rsidRPr="0045163B" w:rsidRDefault="0055261E" w:rsidP="00925080">
            <w:pPr>
              <w:widowControl/>
              <w:numPr>
                <w:ilvl w:val="2"/>
                <w:numId w:val="7"/>
              </w:numPr>
              <w:pBdr>
                <w:top w:val="nil"/>
                <w:left w:val="nil"/>
                <w:bottom w:val="nil"/>
                <w:right w:val="nil"/>
                <w:between w:val="nil"/>
              </w:pBdr>
              <w:spacing w:after="160" w:line="252" w:lineRule="auto"/>
              <w:rPr>
                <w:rFonts w:ascii="Arial" w:eastAsia="Arial" w:hAnsi="Arial" w:cs="Arial"/>
                <w:sz w:val="22"/>
                <w:szCs w:val="22"/>
                <w:lang w:val="en-US"/>
              </w:rPr>
            </w:pPr>
            <w:r w:rsidRPr="0045163B">
              <w:rPr>
                <w:rFonts w:ascii="Arial" w:eastAsia="Arial" w:hAnsi="Arial" w:cs="Arial"/>
                <w:sz w:val="22"/>
                <w:szCs w:val="22"/>
                <w:lang w:val="en-US"/>
              </w:rPr>
              <w:lastRenderedPageBreak/>
              <w:t xml:space="preserve">Other, as per Rail Baltica railway Infrastructure Maintenance </w:t>
            </w:r>
            <w:proofErr w:type="spellStart"/>
            <w:r w:rsidRPr="0045163B">
              <w:rPr>
                <w:rFonts w:ascii="Arial" w:eastAsia="Arial" w:hAnsi="Arial" w:cs="Arial"/>
                <w:sz w:val="22"/>
                <w:szCs w:val="22"/>
                <w:lang w:val="en-US"/>
              </w:rPr>
              <w:t>Faclities</w:t>
            </w:r>
            <w:proofErr w:type="spellEnd"/>
            <w:r w:rsidRPr="0045163B">
              <w:rPr>
                <w:rFonts w:ascii="Arial" w:eastAsia="Arial" w:hAnsi="Arial" w:cs="Arial"/>
                <w:sz w:val="22"/>
                <w:szCs w:val="22"/>
                <w:lang w:val="en-US"/>
              </w:rPr>
              <w:t xml:space="preserve"> Study.</w:t>
            </w:r>
          </w:p>
        </w:tc>
      </w:tr>
      <w:tr w:rsidR="0055261E" w:rsidRPr="0045163B" w14:paraId="1C6F934E" w14:textId="77777777" w:rsidTr="00655ADD">
        <w:trPr>
          <w:trHeight w:val="39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C6DBBF"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70C6B"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Designed indicators of the structure(s) or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3E46FB" w14:textId="77777777" w:rsidR="00651EDA" w:rsidRPr="00396501" w:rsidRDefault="00651EDA" w:rsidP="00651EDA">
            <w:pPr>
              <w:jc w:val="both"/>
              <w:rPr>
                <w:rFonts w:ascii="Arial" w:eastAsia="Arial" w:hAnsi="Arial" w:cs="Arial"/>
                <w:sz w:val="22"/>
                <w:szCs w:val="22"/>
                <w:lang w:val="en-US"/>
              </w:rPr>
            </w:pPr>
            <w:r w:rsidRPr="00396501">
              <w:rPr>
                <w:rFonts w:ascii="Arial" w:eastAsia="Arial" w:hAnsi="Arial" w:cs="Arial"/>
                <w:sz w:val="22"/>
                <w:szCs w:val="22"/>
                <w:lang w:val="en-US"/>
              </w:rPr>
              <w:t xml:space="preserve">The solutions presented in the Rail Baltica Railway Infrastructure Maintenance Depot Communications Engineering Infrastructure Development Plan (TPD registration No T00089624) are indicative and need to be updated during the preparation of the project proposals. The design of the new depot shall be in accordance with the provisions of the RBDG-MAN-025-0108 Infrastructure Facilities pages 5, 6, 7 and the following characteristics, which have been </w:t>
            </w:r>
            <w:proofErr w:type="spellStart"/>
            <w:r w:rsidRPr="00396501">
              <w:rPr>
                <w:rFonts w:ascii="Arial" w:eastAsia="Arial" w:hAnsi="Arial" w:cs="Arial"/>
                <w:sz w:val="22"/>
                <w:szCs w:val="22"/>
                <w:lang w:val="en-US"/>
              </w:rPr>
              <w:t>optimised</w:t>
            </w:r>
            <w:proofErr w:type="spellEnd"/>
            <w:r w:rsidRPr="00396501">
              <w:rPr>
                <w:rFonts w:ascii="Arial" w:eastAsia="Arial" w:hAnsi="Arial" w:cs="Arial"/>
                <w:sz w:val="22"/>
                <w:szCs w:val="22"/>
                <w:lang w:val="en-US"/>
              </w:rPr>
              <w:t xml:space="preserve"> in accordance with the solutions presented in the Rail Baltica Railway Infrastructure Maintenance Depot Communications Engineering Infrastructure Development Plan:</w:t>
            </w:r>
          </w:p>
          <w:p w14:paraId="0E27B00A" w14:textId="77777777" w:rsidR="0055261E" w:rsidRPr="0045163B" w:rsidRDefault="0055261E" w:rsidP="0055261E">
            <w:pPr>
              <w:shd w:val="clear" w:color="auto" w:fill="FFFFFF"/>
              <w:jc w:val="both"/>
              <w:rPr>
                <w:rFonts w:ascii="Arial" w:eastAsia="Arial" w:hAnsi="Arial" w:cs="Arial"/>
                <w:b/>
                <w:sz w:val="22"/>
                <w:szCs w:val="22"/>
                <w:lang w:val="en-US"/>
              </w:rPr>
            </w:pPr>
          </w:p>
          <w:p w14:paraId="05C6BF31" w14:textId="77777777"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6.1 Rolling stock service:</w:t>
            </w:r>
          </w:p>
          <w:p w14:paraId="43968F05"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6.1.1</w:t>
            </w:r>
            <w:r w:rsidRPr="00396501">
              <w:rPr>
                <w:rFonts w:ascii="Arial" w:eastAsia="Arial" w:hAnsi="Arial" w:cs="Arial"/>
                <w:sz w:val="22"/>
                <w:szCs w:val="22"/>
                <w:lang w:val="en-US"/>
              </w:rPr>
              <w:t>. Rolling stock maintenance building:</w:t>
            </w:r>
          </w:p>
          <w:p w14:paraId="45CF0DD1" w14:textId="67B1217C"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52387D"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72F93E8A" w14:textId="7718AD90"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Dimensions: at least 12.8</w:t>
            </w:r>
            <w:r w:rsidR="00EB7AB5" w:rsidRPr="00396501">
              <w:rPr>
                <w:rFonts w:ascii="Arial" w:eastAsia="Arial" w:hAnsi="Arial" w:cs="Arial"/>
                <w:sz w:val="22"/>
                <w:szCs w:val="22"/>
                <w:lang w:val="en-US"/>
              </w:rPr>
              <w:t>x</w:t>
            </w:r>
            <w:r w:rsidR="0052387D" w:rsidRPr="00396501">
              <w:rPr>
                <w:rFonts w:ascii="Arial" w:eastAsia="Arial" w:hAnsi="Arial" w:cs="Arial"/>
                <w:sz w:val="22"/>
                <w:szCs w:val="22"/>
                <w:lang w:val="en-US"/>
              </w:rPr>
              <w:t>100</w:t>
            </w:r>
            <w:r w:rsidRPr="00396501">
              <w:rPr>
                <w:rFonts w:ascii="Arial" w:eastAsia="Arial" w:hAnsi="Arial" w:cs="Arial"/>
                <w:sz w:val="22"/>
                <w:szCs w:val="22"/>
                <w:lang w:val="en-US"/>
              </w:rPr>
              <w:t>m;</w:t>
            </w:r>
          </w:p>
          <w:p w14:paraId="3DEE3E92" w14:textId="252BBFBC" w:rsidR="00DC6527" w:rsidRPr="00396501" w:rsidRDefault="00DC6527" w:rsidP="00DC6527">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The building shall include a track with a hole (with lighting). The building shall be heated. The building shall also be equipped with smoke extractors, an overhead crane and a rolling stock lifting device.  </w:t>
            </w:r>
          </w:p>
          <w:p w14:paraId="61A4C748" w14:textId="0CDA5672" w:rsidR="00DC6527" w:rsidRPr="00396501" w:rsidRDefault="00DC6527" w:rsidP="00EB7AB5">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 xml:space="preserve">An additional one shall be designed for the rolling stock service building:  </w:t>
            </w:r>
          </w:p>
          <w:p w14:paraId="43E6C907" w14:textId="4E715A2C" w:rsidR="00DC6527" w:rsidRPr="00396501" w:rsidRDefault="00DC6527" w:rsidP="00EB7AB5">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-Welding, drilling, grinding workshop ~ 50m</w:t>
            </w:r>
            <w:r w:rsidRPr="00396501">
              <w:rPr>
                <w:rFonts w:ascii="Arial" w:eastAsia="Arial" w:hAnsi="Arial" w:cs="Arial"/>
                <w:sz w:val="22"/>
                <w:szCs w:val="22"/>
                <w:vertAlign w:val="superscript"/>
                <w:lang w:val="en-US"/>
              </w:rPr>
              <w:t xml:space="preserve">2 </w:t>
            </w:r>
            <w:r w:rsidRPr="00396501">
              <w:rPr>
                <w:rFonts w:ascii="Arial" w:eastAsia="Arial" w:hAnsi="Arial" w:cs="Arial"/>
                <w:sz w:val="22"/>
                <w:szCs w:val="22"/>
                <w:lang w:val="en-US"/>
              </w:rPr>
              <w:t xml:space="preserve">, </w:t>
            </w:r>
          </w:p>
          <w:p w14:paraId="2640F212" w14:textId="409F4562" w:rsidR="00DC6527" w:rsidRPr="00396501" w:rsidRDefault="00EB7AB5" w:rsidP="00DC6527">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 xml:space="preserve">- </w:t>
            </w:r>
            <w:r w:rsidR="00DC6527" w:rsidRPr="00396501">
              <w:rPr>
                <w:rFonts w:ascii="Arial" w:eastAsia="Arial" w:hAnsi="Arial" w:cs="Arial"/>
                <w:sz w:val="22"/>
                <w:szCs w:val="22"/>
                <w:lang w:val="en-US"/>
              </w:rPr>
              <w:t>Soldering and dismantling workshop ~ 20 m</w:t>
            </w:r>
            <w:r w:rsidR="00DC6527" w:rsidRPr="00396501">
              <w:rPr>
                <w:rFonts w:ascii="Arial" w:eastAsia="Arial" w:hAnsi="Arial" w:cs="Arial"/>
                <w:sz w:val="22"/>
                <w:szCs w:val="22"/>
                <w:vertAlign w:val="superscript"/>
                <w:lang w:val="en-US"/>
              </w:rPr>
              <w:t xml:space="preserve">2 </w:t>
            </w:r>
            <w:r w:rsidR="00DC6527" w:rsidRPr="00396501">
              <w:rPr>
                <w:rFonts w:ascii="Arial" w:eastAsia="Arial" w:hAnsi="Arial" w:cs="Arial"/>
                <w:sz w:val="22"/>
                <w:szCs w:val="22"/>
                <w:lang w:val="en-US"/>
              </w:rPr>
              <w:t xml:space="preserve">,  </w:t>
            </w:r>
          </w:p>
          <w:p w14:paraId="7DA43D4B"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place for storage of rolling stock and maintenance and repair of equipment</w:t>
            </w:r>
          </w:p>
          <w:p w14:paraId="28C57C83"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6.1.2. Car roads, access and service roads, movement in the territory:</w:t>
            </w:r>
          </w:p>
          <w:p w14:paraId="4F0942A6" w14:textId="32837919"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Max designed axle load: 11.5 t per axle;</w:t>
            </w:r>
          </w:p>
          <w:p w14:paraId="36CFB7E1"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The type of coating is determined during project preparation;</w:t>
            </w:r>
          </w:p>
          <w:p w14:paraId="441F6F07"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total lane width: 3.50 m;</w:t>
            </w:r>
          </w:p>
          <w:p w14:paraId="56C43B71"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total road width: 5.50 m;</w:t>
            </w:r>
          </w:p>
          <w:p w14:paraId="6928E6DE"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turning radius of the design vehicle: 12.50 m;</w:t>
            </w:r>
          </w:p>
          <w:p w14:paraId="1A37B1A0" w14:textId="77777777" w:rsidR="0055261E" w:rsidRPr="0045163B" w:rsidRDefault="005F1FFB"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sdt>
              <w:sdtPr>
                <w:rPr>
                  <w:lang w:val="en-US"/>
                </w:rPr>
                <w:tag w:val="goog_rdk_0"/>
                <w:id w:val="164359099"/>
              </w:sdtPr>
              <w:sdtEndPr/>
              <w:sdtContent>
                <w:r w:rsidR="0055261E" w:rsidRPr="0045163B">
                  <w:rPr>
                    <w:rFonts w:ascii="Arial Unicode MS" w:eastAsia="Arial Unicode MS" w:hAnsi="Arial Unicode MS" w:cs="Arial Unicode MS"/>
                    <w:sz w:val="22"/>
                    <w:szCs w:val="22"/>
                    <w:lang w:val="en-US"/>
                  </w:rPr>
                  <w:t>Longitudinal slope: ≥ 0.5% and ≤ 8.0%;</w:t>
                </w:r>
              </w:sdtContent>
            </w:sdt>
          </w:p>
          <w:p w14:paraId="27D0FD1F"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Design speed: 30 km/h.</w:t>
            </w:r>
          </w:p>
          <w:p w14:paraId="13BC5845" w14:textId="1EA4F50D" w:rsidR="0055261E" w:rsidRPr="0045163B" w:rsidRDefault="0055261E" w:rsidP="000E209F">
            <w:pPr>
              <w:widowControl/>
              <w:shd w:val="clear" w:color="auto" w:fill="FFFFFF"/>
              <w:spacing w:line="276" w:lineRule="auto"/>
              <w:jc w:val="both"/>
              <w:rPr>
                <w:rFonts w:ascii="Arial" w:eastAsia="Arial" w:hAnsi="Arial" w:cs="Arial"/>
                <w:color w:val="FF0000"/>
                <w:sz w:val="22"/>
                <w:szCs w:val="22"/>
                <w:lang w:val="en-US"/>
              </w:rPr>
            </w:pPr>
            <w:r w:rsidRPr="0045163B">
              <w:rPr>
                <w:rFonts w:ascii="Arial" w:eastAsia="Arial" w:hAnsi="Arial" w:cs="Arial"/>
                <w:sz w:val="22"/>
                <w:szCs w:val="22"/>
                <w:lang w:val="en-US"/>
              </w:rPr>
              <w:lastRenderedPageBreak/>
              <w:t xml:space="preserve">The project must include service passages/crossings, service tracks and passages/crossings over railway </w:t>
            </w:r>
            <w:r w:rsidRPr="00396501">
              <w:rPr>
                <w:rFonts w:ascii="Arial" w:eastAsia="Arial" w:hAnsi="Arial" w:cs="Arial"/>
                <w:sz w:val="22"/>
                <w:szCs w:val="22"/>
                <w:lang w:val="en-US"/>
              </w:rPr>
              <w:t xml:space="preserve">tracks, </w:t>
            </w:r>
            <w:r w:rsidR="000E209F" w:rsidRPr="00396501">
              <w:rPr>
                <w:rFonts w:ascii="Arial" w:eastAsia="Arial" w:hAnsi="Arial" w:cs="Arial"/>
                <w:sz w:val="22"/>
                <w:szCs w:val="22"/>
                <w:lang w:val="en-US"/>
              </w:rPr>
              <w:t>taking into account the requirements of the applicable legislation and technical standards, providing all necessary measures to ensure safe movement (vertical and horizontal markings, other information signs, safe movement schemes, evacuation plans, etc.).</w:t>
            </w:r>
          </w:p>
          <w:p w14:paraId="5364B577" w14:textId="6323270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The project must include vertical and horizontal markings, other informational signs, safe movement diagrams, evacuation plans. </w:t>
            </w:r>
          </w:p>
          <w:p w14:paraId="4BD32067" w14:textId="1416584B" w:rsidR="001F6A96" w:rsidRPr="00396501" w:rsidRDefault="001F6A96" w:rsidP="001F6A96">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396501">
              <w:rPr>
                <w:rFonts w:ascii="Arial" w:eastAsia="Arial" w:hAnsi="Arial" w:cs="Arial"/>
                <w:sz w:val="22"/>
                <w:szCs w:val="22"/>
                <w:lang w:val="en-US"/>
              </w:rPr>
              <w:t xml:space="preserve">At least 32 parking spaces for service vehicles, 1 for special vehicles and 1 for private vehicles shall be provided within the depot area. The planned number of employees shall be </w:t>
            </w:r>
            <w:r w:rsidR="0066328A" w:rsidRPr="00396501">
              <w:rPr>
                <w:rFonts w:ascii="Arial" w:eastAsia="Arial" w:hAnsi="Arial" w:cs="Arial"/>
                <w:sz w:val="22"/>
                <w:szCs w:val="22"/>
                <w:lang w:val="en-US"/>
              </w:rPr>
              <w:t>114</w:t>
            </w:r>
            <w:r w:rsidRPr="00396501">
              <w:rPr>
                <w:rFonts w:ascii="Arial" w:eastAsia="Arial" w:hAnsi="Arial" w:cs="Arial"/>
                <w:sz w:val="22"/>
                <w:szCs w:val="22"/>
                <w:lang w:val="en-US"/>
              </w:rPr>
              <w:t xml:space="preserve">. Parking spaces for electric cars shall be provided in accordance with the legislation.   </w:t>
            </w:r>
          </w:p>
          <w:p w14:paraId="28A77D46" w14:textId="7D8EF4DE"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In the territory of the depot, pedestrian paths must be provided between buildings and parking spaces.</w:t>
            </w:r>
          </w:p>
          <w:p w14:paraId="7E1A61A4"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6.1.3. Firefighting and rescue trains building:</w:t>
            </w:r>
          </w:p>
          <w:p w14:paraId="10A003DE" w14:textId="453C0012"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690018" w:rsidRPr="00396501">
              <w:rPr>
                <w:rFonts w:ascii="Arial" w:eastAsia="Arial" w:hAnsi="Arial" w:cs="Arial"/>
                <w:sz w:val="22"/>
                <w:szCs w:val="22"/>
                <w:lang w:val="en-US"/>
              </w:rPr>
              <w:t>to be selected during the design proposals, after the new scheme has been prepared;</w:t>
            </w:r>
          </w:p>
          <w:p w14:paraId="3FDD9E5C"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Dimensions: according to the gauge of the proximity of the 2 railway road structures, the length of the building shall not be less than 90 m;</w:t>
            </w:r>
          </w:p>
          <w:p w14:paraId="1AE541C3"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fire and rescue trains.</w:t>
            </w:r>
          </w:p>
          <w:p w14:paraId="2C784CF1" w14:textId="71FAC8F8"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approach must be designed to ensure direct access from the building to the Rail Baltica main line to reach the scene in the shortest possible time. Two routes must be provided inside the building for fire-fighting trains. No maintenance or repair work will be carried out in this building</w:t>
            </w:r>
            <w:r w:rsidRPr="00396501">
              <w:rPr>
                <w:rFonts w:ascii="Arial" w:eastAsia="Arial" w:hAnsi="Arial" w:cs="Arial"/>
                <w:sz w:val="22"/>
                <w:szCs w:val="22"/>
                <w:lang w:val="en-US"/>
              </w:rPr>
              <w:t>.</w:t>
            </w:r>
            <w:r w:rsidR="003F727D" w:rsidRPr="00396501">
              <w:rPr>
                <w:rFonts w:ascii="Arial" w:eastAsia="Arial" w:hAnsi="Arial" w:cs="Arial"/>
                <w:sz w:val="22"/>
                <w:szCs w:val="22"/>
                <w:lang w:val="en-US"/>
              </w:rPr>
              <w:t xml:space="preserve"> The building must be heated, with a column for refilling water. The building will also have easy access for vehicles and staff.</w:t>
            </w:r>
          </w:p>
          <w:p w14:paraId="0F8E1B3C"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6.1.4. Warehouse building:</w:t>
            </w:r>
          </w:p>
          <w:p w14:paraId="6A045251" w14:textId="3C465E6B"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E6290A"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138E3D49"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Dimensions: at least 20x60 m;</w:t>
            </w:r>
          </w:p>
          <w:p w14:paraId="27C1687F"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smaller materials and equipment.</w:t>
            </w:r>
          </w:p>
          <w:p w14:paraId="5E97D0F5"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warehouse building is designed with one floor and a gable roof.</w:t>
            </w:r>
          </w:p>
          <w:p w14:paraId="40F60877"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warehouse building is also designed with internal partitions.</w:t>
            </w:r>
          </w:p>
          <w:p w14:paraId="477C1073" w14:textId="350D7EB5"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Storage needs: </w:t>
            </w:r>
          </w:p>
          <w:p w14:paraId="7D8FE563"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For road users: (with parking access) </w:t>
            </w:r>
          </w:p>
          <w:p w14:paraId="14601076" w14:textId="26E3ADB8"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Storage space for tools and appliances - 1 unit - ~60m</w:t>
            </w:r>
            <w:r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(or 2 x 30 m</w:t>
            </w:r>
            <w:r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4643E55" w14:textId="72C12749"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~40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(or 2 x 20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54B816F3" w14:textId="77777777" w:rsidR="003D1081" w:rsidRPr="0045163B" w:rsidRDefault="003D1081" w:rsidP="003D1081">
            <w:pPr>
              <w:widowControl/>
              <w:shd w:val="clear" w:color="auto" w:fill="FFFFFF"/>
              <w:spacing w:line="276" w:lineRule="auto"/>
              <w:jc w:val="both"/>
              <w:rPr>
                <w:rFonts w:ascii="Arial" w:eastAsia="Arial" w:hAnsi="Arial" w:cs="Arial"/>
                <w:color w:val="FF0000"/>
                <w:sz w:val="22"/>
                <w:szCs w:val="22"/>
                <w:lang w:val="en-US"/>
              </w:rPr>
            </w:pPr>
          </w:p>
          <w:p w14:paraId="35553A7A"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lastRenderedPageBreak/>
              <w:t xml:space="preserve">Automation/Resources: </w:t>
            </w:r>
          </w:p>
          <w:p w14:paraId="21B117C4" w14:textId="410535D1"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Tool and appliance storage - 1 unit (17 employees with individual lockers) ~30m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21E96B95" w14:textId="591BF14A"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Material storage rooms - ~20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12D10182"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77338B8D"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CT/Electricians: </w:t>
            </w:r>
          </w:p>
          <w:p w14:paraId="0F7D8A53" w14:textId="558A0061"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Tool and appliance storage room - 1 unit (15 workers with individual cabinets) ~30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5E304D6B" w14:textId="1138C56B"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Rooms for storage of materials - ~20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p>
          <w:p w14:paraId="7E16F5B5"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2A37F4E9" w14:textId="7AEE735B"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Auxiliary Train: (with car access) </w:t>
            </w:r>
          </w:p>
          <w:p w14:paraId="3FBB4C63" w14:textId="6A062EFD"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Storage space for tools and appliances - ~30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p>
          <w:p w14:paraId="0F6E3F38"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137C053D" w14:textId="11B37314"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Rooms for storage of materials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p>
          <w:p w14:paraId="17E1A9FD" w14:textId="5558B02C"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Chemical rooms - 1 unit (4 separate lockable areas for each unit)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743048F"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770B826E" w14:textId="07B91272"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Fuel rooms - 1 unit (4 separate lockable areas per unit)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4985281" w14:textId="2F4FCC80"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Material storage: ~900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with forklift access, with racking, with metal storage bins, the building is fully heated. With rail access, with overhead crane for unloading/loading.</w:t>
            </w:r>
          </w:p>
          <w:p w14:paraId="22B4F351"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6.1.5. Roof - sheltered area for rolling stock:</w:t>
            </w:r>
          </w:p>
          <w:p w14:paraId="2D23E259" w14:textId="2EAFA808"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C54C35"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539D6312"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Dimensions: length for 2 tracks shall not be less than 100m; </w:t>
            </w:r>
          </w:p>
          <w:p w14:paraId="29ACEBFB"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railway infrastructure maintenance rolling stock in adverse weather conditions.</w:t>
            </w:r>
          </w:p>
          <w:p w14:paraId="60061E4C"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00458AD5"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b/>
                <w:sz w:val="22"/>
                <w:szCs w:val="22"/>
                <w:lang w:val="en-US"/>
              </w:rPr>
              <w:t xml:space="preserve">6.2. </w:t>
            </w:r>
            <w:r w:rsidRPr="00396501">
              <w:rPr>
                <w:rFonts w:ascii="Arial" w:eastAsia="Arial" w:hAnsi="Arial" w:cs="Arial"/>
                <w:b/>
                <w:sz w:val="22"/>
                <w:szCs w:val="22"/>
                <w:lang w:val="en-US"/>
              </w:rPr>
              <w:t>Technological sites and coatings:</w:t>
            </w:r>
          </w:p>
          <w:p w14:paraId="79F93594" w14:textId="143C0326" w:rsidR="00C65297" w:rsidRPr="00396501" w:rsidRDefault="0055261E" w:rsidP="00BD487F">
            <w:pPr>
              <w:widowControl/>
              <w:shd w:val="clear" w:color="auto" w:fill="FFFFFF" w:themeFill="background1"/>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6.2.1. Turnouts and sleepers stock area</w:t>
            </w:r>
            <w:r w:rsidR="00AE5806" w:rsidRPr="00396501">
              <w:rPr>
                <w:rFonts w:ascii="Arial" w:eastAsia="Arial" w:hAnsi="Arial" w:cs="Arial"/>
                <w:sz w:val="22"/>
                <w:szCs w:val="22"/>
                <w:lang w:val="en-US"/>
              </w:rPr>
              <w:t xml:space="preserve"> together Rail stock slab</w:t>
            </w:r>
            <w:r w:rsidRPr="00396501">
              <w:rPr>
                <w:rFonts w:ascii="Arial" w:eastAsia="Arial" w:hAnsi="Arial" w:cs="Arial"/>
                <w:sz w:val="22"/>
                <w:szCs w:val="22"/>
                <w:lang w:val="en-US"/>
              </w:rPr>
              <w:t>:</w:t>
            </w:r>
          </w:p>
          <w:p w14:paraId="1D5EAE80" w14:textId="68895FFB" w:rsidR="00C65297" w:rsidRPr="00396501" w:rsidRDefault="00C65297" w:rsidP="00C65297">
            <w:pPr>
              <w:widowControl/>
              <w:pBdr>
                <w:top w:val="nil"/>
                <w:left w:val="nil"/>
                <w:bottom w:val="nil"/>
                <w:right w:val="nil"/>
                <w:between w:val="nil"/>
              </w:pBdr>
              <w:spacing w:after="200" w:line="276" w:lineRule="auto"/>
              <w:ind w:left="360"/>
              <w:rPr>
                <w:rFonts w:ascii="Arial" w:eastAsia="Arial" w:hAnsi="Arial" w:cs="Arial"/>
                <w:sz w:val="22"/>
                <w:szCs w:val="22"/>
                <w:highlight w:val="yellow"/>
                <w:lang w:val="en-US"/>
              </w:rPr>
            </w:pPr>
            <w:r w:rsidRPr="00396501">
              <w:rPr>
                <w:rFonts w:ascii="Arial" w:eastAsia="Arial" w:hAnsi="Arial" w:cs="Arial"/>
                <w:sz w:val="22"/>
                <w:szCs w:val="22"/>
                <w:lang w:val="en-US"/>
              </w:rPr>
              <w:t>Completion base: hard surface site (concrete) ~6000m2 (with sub-road) with gantry crane, access for both tracks and car access (trucks with semi-trailer can come, go, turn around).</w:t>
            </w:r>
          </w:p>
          <w:p w14:paraId="733ED147" w14:textId="3F301E21"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6.2.</w:t>
            </w:r>
            <w:r w:rsidR="00BD487F" w:rsidRPr="0045163B">
              <w:rPr>
                <w:rFonts w:ascii="Arial" w:eastAsia="Arial" w:hAnsi="Arial" w:cs="Arial"/>
                <w:sz w:val="22"/>
                <w:szCs w:val="22"/>
                <w:lang w:val="en-US"/>
              </w:rPr>
              <w:t>2</w:t>
            </w:r>
            <w:r w:rsidRPr="0045163B">
              <w:rPr>
                <w:rFonts w:ascii="Arial" w:eastAsia="Arial" w:hAnsi="Arial" w:cs="Arial"/>
                <w:sz w:val="22"/>
                <w:szCs w:val="22"/>
                <w:lang w:val="en-US"/>
              </w:rPr>
              <w:t xml:space="preserve">. Railway tracks on a </w:t>
            </w:r>
            <w:proofErr w:type="spellStart"/>
            <w:r w:rsidRPr="0045163B">
              <w:rPr>
                <w:rFonts w:ascii="Arial" w:eastAsia="Arial" w:hAnsi="Arial" w:cs="Arial"/>
                <w:sz w:val="22"/>
                <w:szCs w:val="22"/>
                <w:lang w:val="en-US"/>
              </w:rPr>
              <w:t>ballastless</w:t>
            </w:r>
            <w:proofErr w:type="spellEnd"/>
            <w:r w:rsidRPr="0045163B">
              <w:rPr>
                <w:rFonts w:ascii="Arial" w:eastAsia="Arial" w:hAnsi="Arial" w:cs="Arial"/>
                <w:sz w:val="22"/>
                <w:szCs w:val="22"/>
                <w:lang w:val="en-US"/>
              </w:rPr>
              <w:t xml:space="preserve"> slab (</w:t>
            </w:r>
            <w:proofErr w:type="spellStart"/>
            <w:r w:rsidRPr="0045163B">
              <w:rPr>
                <w:rFonts w:ascii="Arial" w:eastAsia="Arial" w:hAnsi="Arial" w:cs="Arial"/>
                <w:sz w:val="22"/>
                <w:szCs w:val="22"/>
                <w:lang w:val="en-US"/>
              </w:rPr>
              <w:t>emebnded</w:t>
            </w:r>
            <w:proofErr w:type="spellEnd"/>
            <w:r w:rsidRPr="0045163B">
              <w:rPr>
                <w:rFonts w:ascii="Arial" w:eastAsia="Arial" w:hAnsi="Arial" w:cs="Arial"/>
                <w:sz w:val="22"/>
                <w:szCs w:val="22"/>
                <w:lang w:val="en-US"/>
              </w:rPr>
              <w:t xml:space="preserve"> rail system) or covered with reinforced concrete slabs (track on slab):</w:t>
            </w:r>
          </w:p>
          <w:p w14:paraId="6A2C561C" w14:textId="25A95C39" w:rsidR="0055261E" w:rsidRPr="00396501" w:rsidRDefault="002D70AE" w:rsidP="00925080">
            <w:pPr>
              <w:widowControl/>
              <w:numPr>
                <w:ilvl w:val="0"/>
                <w:numId w:val="2"/>
              </w:numPr>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lastRenderedPageBreak/>
              <w:t>The road cover is to be designed under and in front of the shelter for a total of ~120 m, as well as in the rolling stock service building and in front of the building for a total of ~120 m.</w:t>
            </w:r>
          </w:p>
          <w:p w14:paraId="39239A21" w14:textId="77777777"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Purpose: for railway service vehicles, which have the ability to run on both rails and tracks, on hard coatings.</w:t>
            </w:r>
          </w:p>
          <w:p w14:paraId="71380651" w14:textId="0581304D"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w:t>
            </w:r>
            <w:r w:rsidR="006058AB" w:rsidRPr="00396501">
              <w:rPr>
                <w:rFonts w:ascii="Arial" w:eastAsia="Arial" w:hAnsi="Arial" w:cs="Arial"/>
                <w:sz w:val="22"/>
                <w:szCs w:val="22"/>
                <w:lang w:val="en-US"/>
              </w:rPr>
              <w:t>3</w:t>
            </w:r>
            <w:r w:rsidRPr="00396501">
              <w:rPr>
                <w:rFonts w:ascii="Arial" w:eastAsia="Arial" w:hAnsi="Arial" w:cs="Arial"/>
                <w:sz w:val="22"/>
                <w:szCs w:val="22"/>
                <w:lang w:val="en-US"/>
              </w:rPr>
              <w:t xml:space="preserve">. </w:t>
            </w:r>
            <w:r w:rsidR="00C01CE3" w:rsidRPr="00396501">
              <w:rPr>
                <w:rFonts w:ascii="Arial" w:eastAsia="Arial" w:hAnsi="Arial" w:cs="Arial"/>
                <w:sz w:val="22"/>
                <w:szCs w:val="22"/>
                <w:lang w:val="en-US"/>
              </w:rPr>
              <w:t>Rolling stock turning circle:</w:t>
            </w:r>
            <w:r w:rsidRPr="00396501">
              <w:rPr>
                <w:rFonts w:ascii="Arial" w:eastAsia="Arial" w:hAnsi="Arial" w:cs="Arial"/>
                <w:sz w:val="22"/>
                <w:szCs w:val="22"/>
                <w:lang w:val="en-US"/>
              </w:rPr>
              <w:t>:</w:t>
            </w:r>
          </w:p>
          <w:p w14:paraId="5161D389" w14:textId="5B33E862"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C01CE3"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1C86E7E6" w14:textId="773D910A" w:rsidR="0055261E" w:rsidRPr="00396501" w:rsidRDefault="0055261E" w:rsidP="006058AB">
            <w:pPr>
              <w:widowControl/>
              <w:pBdr>
                <w:top w:val="nil"/>
                <w:left w:val="nil"/>
                <w:bottom w:val="nil"/>
                <w:right w:val="nil"/>
                <w:between w:val="nil"/>
              </w:pBdr>
              <w:shd w:val="clear" w:color="auto" w:fill="FFFFFF"/>
              <w:spacing w:line="276" w:lineRule="auto"/>
              <w:ind w:left="360"/>
              <w:jc w:val="both"/>
              <w:rPr>
                <w:rFonts w:ascii="Arial" w:eastAsia="Arial" w:hAnsi="Arial" w:cs="Arial"/>
                <w:strike/>
                <w:sz w:val="22"/>
                <w:szCs w:val="22"/>
                <w:highlight w:val="yellow"/>
                <w:lang w:val="en-US"/>
              </w:rPr>
            </w:pPr>
          </w:p>
          <w:p w14:paraId="7ACEEC38" w14:textId="31461369" w:rsidR="0055261E" w:rsidRPr="00396501" w:rsidRDefault="004248F9" w:rsidP="004248F9">
            <w:pPr>
              <w:widowControl/>
              <w:pBdr>
                <w:top w:val="nil"/>
                <w:left w:val="nil"/>
                <w:bottom w:val="nil"/>
                <w:right w:val="nil"/>
                <w:between w:val="nil"/>
              </w:pBdr>
              <w:shd w:val="clear" w:color="auto" w:fill="FFFFFF" w:themeFill="background1"/>
              <w:spacing w:line="276" w:lineRule="auto"/>
              <w:ind w:left="720"/>
              <w:jc w:val="both"/>
              <w:rPr>
                <w:rFonts w:ascii="Arial" w:eastAsia="Arial" w:hAnsi="Arial" w:cs="Arial"/>
                <w:strike/>
                <w:sz w:val="22"/>
                <w:szCs w:val="22"/>
                <w:highlight w:val="yellow"/>
                <w:lang w:val="en-US"/>
              </w:rPr>
            </w:pPr>
            <w:r w:rsidRPr="00396501">
              <w:rPr>
                <w:rFonts w:ascii="Arial" w:eastAsia="Arial" w:hAnsi="Arial" w:cs="Arial"/>
                <w:sz w:val="22"/>
                <w:szCs w:val="22"/>
                <w:lang w:val="en-US"/>
              </w:rPr>
              <w:t xml:space="preserve">- </w:t>
            </w:r>
            <w:r w:rsidR="0055261E" w:rsidRPr="00396501">
              <w:rPr>
                <w:rFonts w:ascii="Arial" w:eastAsia="Arial" w:hAnsi="Arial" w:cs="Arial"/>
                <w:sz w:val="22"/>
                <w:szCs w:val="22"/>
                <w:lang w:val="en-US"/>
              </w:rPr>
              <w:t>Purpose:</w:t>
            </w:r>
            <w:r w:rsidR="006058AB" w:rsidRPr="00396501">
              <w:rPr>
                <w:rFonts w:ascii="Arial" w:eastAsia="Arial" w:hAnsi="Arial" w:cs="Arial"/>
                <w:sz w:val="22"/>
                <w:szCs w:val="22"/>
                <w:lang w:val="en-US"/>
              </w:rPr>
              <w:t xml:space="preserve"> </w:t>
            </w:r>
            <w:r w:rsidR="000C4FBF" w:rsidRPr="00396501">
              <w:rPr>
                <w:rFonts w:ascii="Arial" w:eastAsia="Arial" w:hAnsi="Arial" w:cs="Arial"/>
                <w:sz w:val="22"/>
                <w:szCs w:val="22"/>
                <w:lang w:val="en-US"/>
              </w:rPr>
              <w:t>Turn the rolling stock.</w:t>
            </w:r>
          </w:p>
          <w:p w14:paraId="020B4DDE" w14:textId="7577BD1F"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w:t>
            </w:r>
            <w:r w:rsidR="006058AB" w:rsidRPr="00396501">
              <w:rPr>
                <w:rFonts w:ascii="Arial" w:eastAsia="Arial" w:hAnsi="Arial" w:cs="Arial"/>
                <w:sz w:val="22"/>
                <w:szCs w:val="22"/>
                <w:lang w:val="en-US"/>
              </w:rPr>
              <w:t>4</w:t>
            </w:r>
            <w:r w:rsidRPr="00396501">
              <w:rPr>
                <w:rFonts w:ascii="Arial" w:eastAsia="Arial" w:hAnsi="Arial" w:cs="Arial"/>
                <w:sz w:val="22"/>
                <w:szCs w:val="22"/>
                <w:lang w:val="en-US"/>
              </w:rPr>
              <w:t>. Refueling area:</w:t>
            </w:r>
          </w:p>
          <w:p w14:paraId="517016A1" w14:textId="318114C6"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The fuel area is for refueling locomotives. A site with a hard coating and two fuel tanks is being designed. </w:t>
            </w:r>
            <w:r w:rsidR="00352366" w:rsidRPr="00396501">
              <w:rPr>
                <w:rFonts w:ascii="Arial" w:eastAsia="Arial" w:hAnsi="Arial" w:cs="Arial"/>
                <w:sz w:val="22"/>
                <w:szCs w:val="22"/>
                <w:lang w:val="en-US"/>
              </w:rPr>
              <w:t xml:space="preserve">Access for vehicles is required. </w:t>
            </w:r>
            <w:r w:rsidRPr="00396501">
              <w:rPr>
                <w:rFonts w:ascii="Arial" w:eastAsia="Arial" w:hAnsi="Arial" w:cs="Arial"/>
                <w:sz w:val="22"/>
                <w:szCs w:val="22"/>
                <w:lang w:val="en-US"/>
              </w:rPr>
              <w:t>During operation of the depot, electric/battery-powered rolling stock will be used.</w:t>
            </w:r>
            <w:r w:rsidR="00153560" w:rsidRPr="00396501">
              <w:rPr>
                <w:lang w:val="en-US"/>
              </w:rPr>
              <w:t xml:space="preserve"> </w:t>
            </w:r>
            <w:r w:rsidR="00153560" w:rsidRPr="00396501">
              <w:rPr>
                <w:rFonts w:ascii="Arial" w:eastAsia="Arial" w:hAnsi="Arial" w:cs="Arial"/>
                <w:sz w:val="22"/>
                <w:szCs w:val="22"/>
                <w:lang w:val="en-US"/>
              </w:rPr>
              <w:t>For electric/battery-powered rolling stock, space must be provided for charging infrastructure.</w:t>
            </w:r>
          </w:p>
          <w:p w14:paraId="5658E8B1" w14:textId="4006C74C"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955FD2"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44EAFD9C" w14:textId="77777777"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6C410CE0" w14:textId="77777777" w:rsidR="0055261E" w:rsidRPr="0045163B" w:rsidRDefault="0055261E" w:rsidP="0055261E">
            <w:pPr>
              <w:widowControl/>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6.3. Administrative building (office building):</w:t>
            </w:r>
          </w:p>
          <w:p w14:paraId="7543B150" w14:textId="6A900CC5"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Location: </w:t>
            </w:r>
            <w:r w:rsidR="00955FD2"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2BCE82EA" w14:textId="5692A7F9" w:rsidR="0055261E" w:rsidRPr="00396501" w:rsidRDefault="0055261E" w:rsidP="004248F9">
            <w:pPr>
              <w:widowControl/>
              <w:pBdr>
                <w:top w:val="nil"/>
                <w:left w:val="nil"/>
                <w:bottom w:val="nil"/>
                <w:right w:val="nil"/>
                <w:between w:val="nil"/>
              </w:pBdr>
              <w:shd w:val="clear" w:color="auto" w:fill="FFFFFF"/>
              <w:spacing w:line="276" w:lineRule="auto"/>
              <w:jc w:val="both"/>
              <w:rPr>
                <w:rFonts w:ascii="Arial" w:eastAsia="Arial" w:hAnsi="Arial" w:cs="Arial"/>
                <w:strike/>
                <w:sz w:val="22"/>
                <w:szCs w:val="22"/>
                <w:lang w:val="en-US"/>
              </w:rPr>
            </w:pPr>
            <w:r w:rsidRPr="00396501">
              <w:rPr>
                <w:rFonts w:ascii="Arial" w:eastAsia="Arial" w:hAnsi="Arial" w:cs="Arial"/>
                <w:sz w:val="22"/>
                <w:szCs w:val="22"/>
                <w:lang w:val="en-US"/>
              </w:rPr>
              <w:t xml:space="preserve">The administrative building consists of internal spaces on both sides. One side will be used for the maintenance staff and the other for the maintenance area (dressing rooms, canteen and other facilities). </w:t>
            </w:r>
          </w:p>
          <w:p w14:paraId="5175FD06"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Requirements for an office building: </w:t>
            </w:r>
          </w:p>
          <w:p w14:paraId="3678C27F"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Number of </w:t>
            </w:r>
            <w:proofErr w:type="spellStart"/>
            <w:r w:rsidRPr="00396501">
              <w:rPr>
                <w:rFonts w:ascii="Arial" w:eastAsia="Arial" w:hAnsi="Arial" w:cs="Arial"/>
                <w:sz w:val="22"/>
                <w:szCs w:val="22"/>
                <w:lang w:val="en-US"/>
              </w:rPr>
              <w:t>computerised</w:t>
            </w:r>
            <w:proofErr w:type="spellEnd"/>
            <w:r w:rsidRPr="00396501">
              <w:rPr>
                <w:rFonts w:ascii="Arial" w:eastAsia="Arial" w:hAnsi="Arial" w:cs="Arial"/>
                <w:sz w:val="22"/>
                <w:szCs w:val="22"/>
                <w:lang w:val="en-US"/>
              </w:rPr>
              <w:t xml:space="preserve"> workstations - 34. </w:t>
            </w:r>
          </w:p>
          <w:p w14:paraId="51CA4A84"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34 computerized offices: </w:t>
            </w:r>
          </w:p>
          <w:p w14:paraId="589995A0"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6 single rooms for managers </w:t>
            </w:r>
          </w:p>
          <w:p w14:paraId="170DF5A4"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Expert: 1 double, 1 triple, 2 quadruple  </w:t>
            </w:r>
          </w:p>
          <w:p w14:paraId="0D95583E"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For the Master: 2 single rooms, 2 triple rooms </w:t>
            </w:r>
          </w:p>
          <w:p w14:paraId="3566F6D3"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Chief Electromechanics - 6 single rooms </w:t>
            </w:r>
          </w:p>
          <w:p w14:paraId="4A17CE40"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Dining area </w:t>
            </w:r>
          </w:p>
          <w:p w14:paraId="0E503FAD"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Meeting room </w:t>
            </w:r>
          </w:p>
          <w:p w14:paraId="37A77BD5"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WC </w:t>
            </w:r>
          </w:p>
          <w:p w14:paraId="2F4665C2"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Staff area for 80 people. </w:t>
            </w:r>
          </w:p>
          <w:p w14:paraId="3ABA92FA"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Locker room (double individual lockers) </w:t>
            </w:r>
          </w:p>
          <w:p w14:paraId="22A54FF2"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lastRenderedPageBreak/>
              <w:t xml:space="preserve">Shower rooms, clothes drying facilities </w:t>
            </w:r>
          </w:p>
          <w:p w14:paraId="3AF8C990"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Dining area </w:t>
            </w:r>
          </w:p>
          <w:p w14:paraId="75595A33"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Training and briefing room for ~20 people (~10 </w:t>
            </w:r>
            <w:proofErr w:type="spellStart"/>
            <w:r w:rsidRPr="00DC1970">
              <w:rPr>
                <w:rFonts w:ascii="Arial" w:eastAsia="Arial" w:hAnsi="Arial" w:cs="Arial"/>
                <w:sz w:val="22"/>
                <w:szCs w:val="22"/>
                <w:lang w:val="en-US"/>
              </w:rPr>
              <w:t>computerised</w:t>
            </w:r>
            <w:proofErr w:type="spellEnd"/>
            <w:r w:rsidRPr="00DC1970">
              <w:rPr>
                <w:rFonts w:ascii="Arial" w:eastAsia="Arial" w:hAnsi="Arial" w:cs="Arial"/>
                <w:sz w:val="22"/>
                <w:szCs w:val="22"/>
                <w:lang w:val="en-US"/>
              </w:rPr>
              <w:t xml:space="preserve"> seats) </w:t>
            </w:r>
          </w:p>
          <w:p w14:paraId="7FE63BE7"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Lounge for ~7 people </w:t>
            </w:r>
          </w:p>
          <w:p w14:paraId="3E9503FB"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Duty team room - 6 people (12h on duty) </w:t>
            </w:r>
          </w:p>
          <w:p w14:paraId="5B21266C" w14:textId="55D6A4AE"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WC </w:t>
            </w:r>
          </w:p>
          <w:p w14:paraId="18406536" w14:textId="77777777" w:rsidR="00707CA5" w:rsidRPr="00DC1970" w:rsidRDefault="00122533" w:rsidP="00122533">
            <w:pPr>
              <w:widowControl/>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The method of installation of all structures is to be proposed and agreed by the Supplier during the project design. </w:t>
            </w:r>
          </w:p>
          <w:p w14:paraId="36564246" w14:textId="1ACBD1E8" w:rsidR="0055261E" w:rsidRPr="0045163B" w:rsidRDefault="0055261E" w:rsidP="00122533">
            <w:pPr>
              <w:widowControl/>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designer must provide for the installation of solar power plants on the roofs of buildings. Access to the building, passages inside the building must be adapted for persons with limited mobility.</w:t>
            </w:r>
          </w:p>
          <w:p w14:paraId="79FFFB57" w14:textId="77777777"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The structures must be accessible to people with special needs in accordance with the requirements of STR 2.03.01:2019 "Accessibility of structures" and the Rail Baltica Design Guidelines.</w:t>
            </w:r>
          </w:p>
          <w:p w14:paraId="4B94D5A5"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6AB71670"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6.4. Area fencing and video-surveillance:</w:t>
            </w:r>
          </w:p>
          <w:p w14:paraId="6B0D626A"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Fencing of the entire depot area is planned. The type of fence is selected in accordance with the requirements of the Rail Baltica Design Guidelines. Fences must be designed taking into account electromagnetic compatibility with future designed catenary and other electrical structures.</w:t>
            </w:r>
          </w:p>
          <w:p w14:paraId="685D1778" w14:textId="5AEAB290"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At the entrance to the depot, an entrance control cabin and lifting barriers must be designed. A video-surveillance system</w:t>
            </w:r>
            <w:r w:rsidR="007C13E9" w:rsidRPr="0045163B">
              <w:rPr>
                <w:rFonts w:ascii="Arial" w:eastAsia="Arial" w:hAnsi="Arial" w:cs="Arial"/>
                <w:color w:val="FF0000"/>
                <w:sz w:val="22"/>
                <w:szCs w:val="22"/>
                <w:lang w:val="en-US"/>
              </w:rPr>
              <w:t xml:space="preserve"> and </w:t>
            </w:r>
            <w:r w:rsidR="007C13E9" w:rsidRPr="00DC1970">
              <w:rPr>
                <w:rFonts w:ascii="Arial" w:eastAsia="Arial" w:hAnsi="Arial" w:cs="Arial"/>
                <w:sz w:val="22"/>
                <w:szCs w:val="22"/>
                <w:lang w:val="en-US"/>
              </w:rPr>
              <w:t>controlling access to the site/buildings for staff</w:t>
            </w:r>
            <w:r w:rsidRPr="00DC1970">
              <w:rPr>
                <w:rFonts w:ascii="Arial" w:eastAsia="Arial" w:hAnsi="Arial" w:cs="Arial"/>
                <w:sz w:val="22"/>
                <w:szCs w:val="22"/>
                <w:lang w:val="en-US"/>
              </w:rPr>
              <w:t xml:space="preserve"> for</w:t>
            </w:r>
            <w:r w:rsidRPr="0045163B">
              <w:rPr>
                <w:rFonts w:ascii="Arial" w:eastAsia="Arial" w:hAnsi="Arial" w:cs="Arial"/>
                <w:sz w:val="22"/>
                <w:szCs w:val="22"/>
                <w:lang w:val="en-US"/>
              </w:rPr>
              <w:t xml:space="preserve"> the depot area must be provided.</w:t>
            </w:r>
          </w:p>
          <w:p w14:paraId="10B28CE4"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maximally protect video-surveillance data in critical infrastructure facilities, the designed video-surveillance system must support encryption of transmitted data (by TPM modules) on both sides of the system equipment. All separately designed object video-surveillance systems must be fully compatible with each other, and while maintaining full functionality, be controlled from a central monitoring station</w:t>
            </w:r>
          </w:p>
          <w:p w14:paraId="24C03213" w14:textId="77777777"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p>
          <w:p w14:paraId="05D4B161" w14:textId="006E5BB0"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45163B">
              <w:rPr>
                <w:rFonts w:ascii="Arial" w:eastAsia="Arial" w:hAnsi="Arial" w:cs="Arial"/>
                <w:b/>
                <w:bCs/>
                <w:sz w:val="22"/>
                <w:szCs w:val="22"/>
                <w:lang w:val="en-US"/>
              </w:rPr>
              <w:t>6.5. Contact network system (OCS):</w:t>
            </w:r>
          </w:p>
          <w:p w14:paraId="22814ED8" w14:textId="50F30A67" w:rsidR="006C3A4C" w:rsidRPr="003E1648" w:rsidRDefault="006C3A4C"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3E1648">
              <w:rPr>
                <w:rFonts w:ascii="Arial" w:eastAsia="Arial" w:hAnsi="Arial" w:cs="Arial"/>
                <w:sz w:val="22"/>
                <w:szCs w:val="22"/>
                <w:lang w:val="en-US"/>
              </w:rPr>
              <w:t xml:space="preserve">The Supplier shall take into account the future electrification of the depot for the maintenance of the railway infrastructure and provide for the location of the electrified track. </w:t>
            </w:r>
          </w:p>
          <w:p w14:paraId="3656B9AB" w14:textId="77777777" w:rsidR="0055261E" w:rsidRPr="003E1648" w:rsidRDefault="0055261E" w:rsidP="0055261E">
            <w:pPr>
              <w:widowControl/>
              <w:shd w:val="clear" w:color="auto" w:fill="FFFFFF"/>
              <w:jc w:val="both"/>
              <w:rPr>
                <w:rFonts w:ascii="Arial" w:eastAsia="Arial" w:hAnsi="Arial" w:cs="Arial"/>
                <w:sz w:val="22"/>
                <w:szCs w:val="22"/>
                <w:lang w:val="en-US"/>
              </w:rPr>
            </w:pPr>
          </w:p>
          <w:p w14:paraId="4178F556" w14:textId="4A97C3EE"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 xml:space="preserve">6.6. CCS </w:t>
            </w:r>
            <w:r w:rsidR="00153F7A" w:rsidRPr="0045163B">
              <w:rPr>
                <w:rFonts w:ascii="Arial" w:eastAsia="Arial" w:hAnsi="Arial" w:cs="Arial"/>
                <w:b/>
                <w:sz w:val="22"/>
                <w:szCs w:val="22"/>
                <w:lang w:val="en-US"/>
              </w:rPr>
              <w:t xml:space="preserve">Control-Command and </w:t>
            </w:r>
            <w:r w:rsidR="00A677E0" w:rsidRPr="0045163B">
              <w:rPr>
                <w:rFonts w:ascii="Arial" w:eastAsia="Arial" w:hAnsi="Arial" w:cs="Arial"/>
                <w:b/>
                <w:sz w:val="22"/>
                <w:szCs w:val="22"/>
                <w:lang w:val="en-US"/>
              </w:rPr>
              <w:t>Signaling</w:t>
            </w:r>
            <w:r w:rsidR="00153F7A" w:rsidRPr="0045163B">
              <w:rPr>
                <w:rFonts w:ascii="Arial" w:eastAsia="Arial" w:hAnsi="Arial" w:cs="Arial"/>
                <w:b/>
                <w:sz w:val="22"/>
                <w:szCs w:val="22"/>
                <w:lang w:val="en-US"/>
              </w:rPr>
              <w:t xml:space="preserve"> Subsystem) </w:t>
            </w:r>
            <w:r w:rsidRPr="0045163B">
              <w:rPr>
                <w:rFonts w:ascii="Arial" w:eastAsia="Arial" w:hAnsi="Arial" w:cs="Arial"/>
                <w:b/>
                <w:sz w:val="22"/>
                <w:szCs w:val="22"/>
                <w:lang w:val="en-US"/>
              </w:rPr>
              <w:t>subsystem requirements:</w:t>
            </w:r>
          </w:p>
          <w:p w14:paraId="5D5D921E" w14:textId="09B86B26" w:rsidR="003C3DE7" w:rsidRPr="007C17CE" w:rsidRDefault="003C3DE7" w:rsidP="003C3DE7">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t xml:space="preserve">The Supplier shall take into account the future control of the local </w:t>
            </w:r>
            <w:r w:rsidR="00A677E0" w:rsidRPr="007C17CE">
              <w:rPr>
                <w:rFonts w:ascii="Arial" w:eastAsia="Arial" w:hAnsi="Arial" w:cs="Arial"/>
                <w:bCs/>
                <w:sz w:val="22"/>
                <w:szCs w:val="22"/>
                <w:lang w:val="en-US"/>
              </w:rPr>
              <w:t>signaling</w:t>
            </w:r>
            <w:r w:rsidRPr="007C17CE">
              <w:rPr>
                <w:rFonts w:ascii="Arial" w:eastAsia="Arial" w:hAnsi="Arial" w:cs="Arial"/>
                <w:bCs/>
                <w:sz w:val="22"/>
                <w:szCs w:val="22"/>
                <w:lang w:val="en-US"/>
              </w:rPr>
              <w:t xml:space="preserve"> of the depot for the maintenance of railway infrastructure.  </w:t>
            </w:r>
          </w:p>
          <w:p w14:paraId="69BB7F5C" w14:textId="77777777" w:rsidR="003C3DE7" w:rsidRPr="007C17CE" w:rsidRDefault="003C3DE7" w:rsidP="003C3DE7">
            <w:pPr>
              <w:shd w:val="clear" w:color="auto" w:fill="FFFFFF"/>
              <w:jc w:val="both"/>
              <w:rPr>
                <w:rFonts w:ascii="Arial" w:eastAsia="Arial" w:hAnsi="Arial" w:cs="Arial"/>
                <w:bCs/>
                <w:sz w:val="22"/>
                <w:szCs w:val="22"/>
                <w:lang w:val="en-US"/>
              </w:rPr>
            </w:pPr>
          </w:p>
          <w:p w14:paraId="5911CCEE" w14:textId="3D479A3B" w:rsidR="003C3DE7" w:rsidRPr="007C17CE" w:rsidRDefault="003C3DE7" w:rsidP="003C3DE7">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lastRenderedPageBreak/>
              <w:t xml:space="preserve">The design of the </w:t>
            </w:r>
            <w:r w:rsidR="00A677E0" w:rsidRPr="007C17CE">
              <w:rPr>
                <w:rFonts w:ascii="Arial" w:eastAsia="Arial" w:hAnsi="Arial" w:cs="Arial"/>
                <w:bCs/>
                <w:sz w:val="22"/>
                <w:szCs w:val="22"/>
                <w:lang w:val="en-US"/>
              </w:rPr>
              <w:t>signaling</w:t>
            </w:r>
            <w:r w:rsidRPr="007C17CE">
              <w:rPr>
                <w:rFonts w:ascii="Arial" w:eastAsia="Arial" w:hAnsi="Arial" w:cs="Arial"/>
                <w:bCs/>
                <w:sz w:val="22"/>
                <w:szCs w:val="22"/>
                <w:lang w:val="en-US"/>
              </w:rPr>
              <w:t xml:space="preserve"> control shall be prepared in a different project, this project only provides for the location.</w:t>
            </w:r>
          </w:p>
          <w:p w14:paraId="45FB0818" w14:textId="77777777" w:rsidR="0055261E" w:rsidRPr="007C17CE" w:rsidRDefault="0055261E" w:rsidP="0055261E">
            <w:pPr>
              <w:widowControl/>
              <w:shd w:val="clear" w:color="auto" w:fill="FFFFFF"/>
              <w:spacing w:line="276" w:lineRule="auto"/>
              <w:jc w:val="both"/>
              <w:rPr>
                <w:rFonts w:ascii="Arial" w:eastAsia="Arial" w:hAnsi="Arial" w:cs="Arial"/>
                <w:sz w:val="22"/>
                <w:szCs w:val="22"/>
                <w:lang w:val="en-US"/>
              </w:rPr>
            </w:pPr>
          </w:p>
          <w:p w14:paraId="4A911B12" w14:textId="5EDA77CC" w:rsidR="0055261E" w:rsidRPr="0045163B" w:rsidRDefault="0055261E" w:rsidP="0055261E">
            <w:pPr>
              <w:widowControl/>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6.7. Technical parameters of railway tracks (in depot territories):</w:t>
            </w:r>
          </w:p>
          <w:p w14:paraId="0CE9F0B5"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6.7.1. Basic parameters</w:t>
            </w:r>
          </w:p>
          <w:p w14:paraId="2442954B"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 xml:space="preserve">Axle load – 245 </w:t>
            </w:r>
            <w:proofErr w:type="spellStart"/>
            <w:r w:rsidRPr="0045163B">
              <w:rPr>
                <w:rFonts w:ascii="Arial" w:eastAsia="Arial" w:hAnsi="Arial" w:cs="Arial"/>
                <w:sz w:val="22"/>
                <w:szCs w:val="22"/>
                <w:lang w:val="en-US"/>
              </w:rPr>
              <w:t>kN</w:t>
            </w:r>
            <w:proofErr w:type="spellEnd"/>
            <w:r w:rsidRPr="0045163B">
              <w:rPr>
                <w:rFonts w:ascii="Arial" w:eastAsia="Arial" w:hAnsi="Arial" w:cs="Arial"/>
                <w:sz w:val="22"/>
                <w:szCs w:val="22"/>
                <w:lang w:val="en-US"/>
              </w:rPr>
              <w:t xml:space="preserve"> (25 t);</w:t>
            </w:r>
          </w:p>
          <w:p w14:paraId="348BC4A6"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Gauge width – 1435 mm and 1520 mm;</w:t>
            </w:r>
          </w:p>
          <w:p w14:paraId="2C4BB344"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Rail inclination 1/40 (for 1435 mm track) and 1/20 (for 1520 mm track);</w:t>
            </w:r>
          </w:p>
          <w:p w14:paraId="11C61B96"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Rail type (1435 mm) not lighter than 60kg/m (R260 or R350HT or equivalent steel according to the requirements of Rail Baltica Design Guidelines) (LST EN 13674-1:2011+A1:2017 or equivalent); rail type (1520 mm) – according to national legislation and normative documentation (Annex No. 2);</w:t>
            </w:r>
          </w:p>
          <w:p w14:paraId="1D5A41BA"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Sleeper width 1435 mm for the road – taking into account the requirements of the Rail Baltica Design Guidelines and for the 1520 mm track – in accordance with the requirements of the Railway Station Design Rules;</w:t>
            </w:r>
          </w:p>
          <w:p w14:paraId="0C953251"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parameters of the 1520 mm gauge railway tracks in the depot area are designed in accordance with the requirements of the Railway Station Design Rules;</w:t>
            </w:r>
          </w:p>
          <w:p w14:paraId="4907DBBA"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1435 mm gauge railway tracks are designed in accordance with the requirements of the Rail Baltica Design Guidelines.</w:t>
            </w:r>
          </w:p>
          <w:p w14:paraId="653C1217"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new interaction components used in the structural subsystems (rails, rail ties and road sleepers) must meet the essential requirements in accordance with Clause 3 of Article 11 of the Law on Railway Transport Traffic Safety of the Republic of Lithuania.</w:t>
            </w:r>
          </w:p>
          <w:p w14:paraId="55579F93" w14:textId="4EB0229B" w:rsidR="0055261E" w:rsidRPr="007C17CE" w:rsidRDefault="0055261E" w:rsidP="00993887">
            <w:pPr>
              <w:shd w:val="clear" w:color="auto" w:fill="FFFFFF" w:themeFill="background1"/>
              <w:ind w:left="720" w:hanging="360"/>
              <w:jc w:val="both"/>
              <w:rPr>
                <w:rFonts w:ascii="Arial" w:eastAsia="Arial" w:hAnsi="Arial" w:cs="Arial"/>
                <w:sz w:val="22"/>
                <w:szCs w:val="22"/>
                <w:lang w:val="en-US"/>
              </w:rPr>
            </w:pPr>
            <w:r w:rsidRPr="0045163B">
              <w:rPr>
                <w:rFonts w:ascii="Arial" w:eastAsia="Arial" w:hAnsi="Arial" w:cs="Arial"/>
                <w:sz w:val="22"/>
                <w:szCs w:val="22"/>
                <w:lang w:val="en-US"/>
              </w:rPr>
              <w:t>New turnouts must meet the requirements of Clause 4.2.5.3 and Clause 4.2.8.6 of Part 3 of Commission Regulation (EU) No. 1299/2014 dated 18 November 2014 on the Technical Interoperability Specification of the Infrastructure Subsystem of the European Union Railway System</w:t>
            </w:r>
            <w:r w:rsidRPr="007C17CE">
              <w:rPr>
                <w:rFonts w:ascii="Arial" w:eastAsia="Arial" w:hAnsi="Arial" w:cs="Arial"/>
                <w:sz w:val="22"/>
                <w:szCs w:val="22"/>
                <w:lang w:val="en-US"/>
              </w:rPr>
              <w:t>.</w:t>
            </w:r>
            <w:r w:rsidR="00993887" w:rsidRPr="007C17CE">
              <w:rPr>
                <w:rFonts w:ascii="Arial" w:eastAsia="Arial" w:hAnsi="Arial" w:cs="Arial"/>
                <w:sz w:val="22"/>
                <w:szCs w:val="22"/>
                <w:lang w:val="en-US"/>
              </w:rPr>
              <w:t xml:space="preserve"> The turnouts are designed in accordance with the Rail Baltica Project Guidelines RBDG-MAN-014D-0102 (Technical Specification - Integrated Turnout System and Track Compensators).</w:t>
            </w:r>
          </w:p>
          <w:p w14:paraId="1AEDEEE6" w14:textId="4750F0EF"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r w:rsidRPr="0045163B">
              <w:rPr>
                <w:rFonts w:ascii="Arial" w:eastAsia="Arial" w:hAnsi="Arial" w:cs="Arial"/>
                <w:sz w:val="22"/>
                <w:szCs w:val="22"/>
                <w:lang w:val="en-US"/>
              </w:rPr>
              <w:t>The Master detailed technical design is prepared taking into account legislation and normative documentation (Annex No. 2).</w:t>
            </w:r>
          </w:p>
          <w:p w14:paraId="009C5A31" w14:textId="2387DB14"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r w:rsidRPr="0045163B">
              <w:rPr>
                <w:rFonts w:ascii="Arial" w:eastAsia="Arial" w:hAnsi="Arial" w:cs="Arial"/>
                <w:sz w:val="22"/>
                <w:szCs w:val="22"/>
                <w:lang w:val="en-US"/>
              </w:rPr>
              <w:t>The supplier must assess that the electrification of the railway infrastructure maintenance depot is planned in the future and ensure necessary provisions for intended electrification.</w:t>
            </w:r>
          </w:p>
          <w:p w14:paraId="03952A3A"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6.7.2. Location of the border mark</w:t>
            </w:r>
          </w:p>
          <w:p w14:paraId="5B342DC0" w14:textId="77777777" w:rsidR="0055261E" w:rsidRPr="0045163B" w:rsidRDefault="0055261E" w:rsidP="00925080">
            <w:pPr>
              <w:numPr>
                <w:ilvl w:val="0"/>
                <w:numId w:val="2"/>
              </w:numPr>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1435 mm gauge for the railway road – in accordance with the requirements of the Rail Baltica Design Guidelines.</w:t>
            </w:r>
          </w:p>
          <w:p w14:paraId="1047ECBC" w14:textId="77777777" w:rsidR="0055261E" w:rsidRPr="0045163B" w:rsidRDefault="0055261E" w:rsidP="00925080">
            <w:pPr>
              <w:numPr>
                <w:ilvl w:val="0"/>
                <w:numId w:val="2"/>
              </w:numPr>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1520 mm gauge for the railway track – according to the requirements of the railway station design rules;</w:t>
            </w:r>
          </w:p>
          <w:p w14:paraId="123EC5E0"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On curved track sections, the location of the limit sign is determined depending on the geometry of the tracks (one-</w:t>
            </w:r>
            <w:r w:rsidRPr="0045163B">
              <w:rPr>
                <w:rFonts w:ascii="Arial" w:eastAsia="Arial" w:hAnsi="Arial" w:cs="Arial"/>
                <w:sz w:val="22"/>
                <w:szCs w:val="22"/>
                <w:lang w:val="en-US"/>
              </w:rPr>
              <w:lastRenderedPageBreak/>
              <w:t>way or two-way curves, straight road section with a curve, etc.);</w:t>
            </w:r>
          </w:p>
          <w:p w14:paraId="5E8ACA59"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6.7.3. Radii of horizontal curves:</w:t>
            </w:r>
          </w:p>
          <w:p w14:paraId="14FB2522"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parameters of the 1520 mm gauge railway tracks in the depot area are designed in accordance with the requirements of the Railway Station Design Rules;</w:t>
            </w:r>
          </w:p>
          <w:p w14:paraId="4B58F9DA"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1435 mm gauge railway tracks are designed in accordance with the requirements of the Rail Baltica Design Guidelines.</w:t>
            </w:r>
          </w:p>
          <w:p w14:paraId="0F0E02B5"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6.7.4. Nominal values ​​of the longitudinal profile of railway tracks (1435 mm gauge):</w:t>
            </w:r>
          </w:p>
          <w:p w14:paraId="209E2201"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For depot territories, the nominal value of the longitudinal profile is 0‰, the maximum value is 1.5‰, the maximum value in exceptional cases is 2.5‰. For deflecting tracks, the recommended value of the longitudinal profile is 1‰ towards the support of the deflecting track;</w:t>
            </w:r>
          </w:p>
          <w:p w14:paraId="6F6BAEDF"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For depot accesses, the nominal value of the longitudinal profile is 5‰, in exceptional cases – 8‰.</w:t>
            </w:r>
          </w:p>
          <w:p w14:paraId="4E6F0F27"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xml:space="preserve">6.7.5. Ballast, </w:t>
            </w:r>
          </w:p>
          <w:p w14:paraId="11B21F1D" w14:textId="24A66D37"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thickness of the ballast layer under the sleeper at the rail – 30 cm on the bed, 35 cm – on the structures; under the central control turnouts – 35 cm.</w:t>
            </w:r>
          </w:p>
          <w:p w14:paraId="0D476AAD"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slope of the ballast prism slopes is 1:1.5;</w:t>
            </w:r>
          </w:p>
          <w:p w14:paraId="4BB5E1E8"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Ballast type: granite rubble, fraction 31.5/63 mm;</w:t>
            </w:r>
          </w:p>
          <w:p w14:paraId="3FA6D67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Track spacings up to 5200 mm wide are filled with ballast (as needed).</w:t>
            </w:r>
          </w:p>
          <w:p w14:paraId="7BAEB056" w14:textId="77777777"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Compliance with the requirements of the EN 13450 standard.</w:t>
            </w:r>
          </w:p>
          <w:p w14:paraId="45F022D0" w14:textId="2578AD7E"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Design shall be developed together with reference to Technical Specification for Construction (RBCN-RBR-SPC-R-00001) and its annexes.</w:t>
            </w:r>
          </w:p>
          <w:p w14:paraId="0A3948EF"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6.7.6. Ground cover, drainage:</w:t>
            </w:r>
          </w:p>
          <w:p w14:paraId="2AE5CC22"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During the design of the embankment, water drainage with open and/or closed water drainage systems must be addressed. When deciding on water drainage, ensure that the interests of third parties are not violated.</w:t>
            </w:r>
          </w:p>
          <w:p w14:paraId="698A8AF6"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protect the embankment from the negative atmosphere and mechanical impact, a protective installation of the embankment layer must be provided, taking into account the requirements of the Rail Baltica Design Guidelines.</w:t>
            </w:r>
          </w:p>
          <w:p w14:paraId="2E632FD4"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embankment parameters of the 1435 mm gauge railway tracks were selected taking into account the requirements of the Rail Baltica Design Guidelines.</w:t>
            </w:r>
          </w:p>
          <w:p w14:paraId="7779F70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To design the embankment parameters of the 1520 mm gauge railway tracks, taking into account the regulatory </w:t>
            </w:r>
            <w:r w:rsidRPr="0045163B">
              <w:rPr>
                <w:rFonts w:ascii="Arial" w:eastAsia="Arial" w:hAnsi="Arial" w:cs="Arial"/>
                <w:sz w:val="22"/>
                <w:szCs w:val="22"/>
                <w:lang w:val="en-US"/>
              </w:rPr>
              <w:lastRenderedPageBreak/>
              <w:t>documents governing the installation and maintenance of the embankment, specified in the procurement document Annex No. 2 “General requirements for the reconstructed infrastructure of 1520 mm, taking into account the newly built 1435 mm railway line”.</w:t>
            </w:r>
          </w:p>
          <w:p w14:paraId="12F8201F" w14:textId="57DDB4B0" w:rsidR="0055261E" w:rsidRPr="0045163B" w:rsidRDefault="0055261E" w:rsidP="00925080">
            <w:pPr>
              <w:widowControl/>
              <w:numPr>
                <w:ilvl w:val="0"/>
                <w:numId w:val="2"/>
              </w:numPr>
              <w:pBdr>
                <w:top w:val="nil"/>
                <w:left w:val="nil"/>
                <w:bottom w:val="nil"/>
                <w:right w:val="nil"/>
                <w:between w:val="nil"/>
              </w:pBdr>
              <w:shd w:val="clear" w:color="auto" w:fill="FFFFFF" w:themeFill="background1"/>
              <w:jc w:val="both"/>
              <w:rPr>
                <w:rFonts w:ascii="Arial" w:eastAsia="Arial" w:hAnsi="Arial" w:cs="Arial"/>
                <w:sz w:val="22"/>
                <w:szCs w:val="22"/>
                <w:u w:val="single"/>
                <w:lang w:val="en-US"/>
              </w:rPr>
            </w:pPr>
            <w:r w:rsidRPr="0045163B">
              <w:rPr>
                <w:rFonts w:ascii="Arial" w:eastAsia="Arial" w:hAnsi="Arial" w:cs="Arial"/>
                <w:sz w:val="22"/>
                <w:szCs w:val="22"/>
                <w:lang w:val="en-US"/>
              </w:rPr>
              <w:t>The limits and method of strengthening the railway embankment should be predicted during project preparation, taking into account the results of engineering geological, hydrogeological, hydrometeorological studies (see Annexes No 13).</w:t>
            </w:r>
          </w:p>
          <w:p w14:paraId="049F31CB" w14:textId="77777777"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p>
          <w:p w14:paraId="3A9D6461" w14:textId="03683252" w:rsidR="00756EBF" w:rsidRPr="007C17CE" w:rsidRDefault="0055261E" w:rsidP="007E593E">
            <w:pPr>
              <w:widowControl/>
              <w:shd w:val="clear" w:color="auto" w:fill="FFFFFF"/>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xml:space="preserve">6.7.7. </w:t>
            </w:r>
            <w:r w:rsidR="00756EBF" w:rsidRPr="007C17CE">
              <w:rPr>
                <w:rFonts w:ascii="Arial" w:eastAsia="Arial" w:hAnsi="Arial" w:cs="Arial"/>
                <w:sz w:val="22"/>
                <w:szCs w:val="22"/>
                <w:lang w:val="en-US"/>
              </w:rPr>
              <w:t xml:space="preserve">The designed railway tracks are preliminary, the designer will determine the optimal number and location of the tracks in the course of the design proposals, taking into account other revised solutions (from the Rail Baltica Railway Infrastructure Maintenance Depot Communication Engineering Infrastructure Development Plan).  </w:t>
            </w:r>
          </w:p>
          <w:p w14:paraId="4320A04D"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p>
          <w:p w14:paraId="55B27340"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r w:rsidRPr="007C17CE">
              <w:rPr>
                <w:rFonts w:ascii="Arial" w:eastAsia="Arial" w:hAnsi="Arial" w:cs="Arial"/>
                <w:sz w:val="22"/>
                <w:szCs w:val="22"/>
                <w:lang w:val="en-US"/>
              </w:rPr>
              <w:t xml:space="preserve">The preliminary length of the tracks to be designed, as indicated in the fee table, depends on the scope of the approved design proposals. </w:t>
            </w:r>
          </w:p>
          <w:p w14:paraId="39FC50D1"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p>
          <w:p w14:paraId="1FB5315A"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r w:rsidRPr="007C17CE">
              <w:rPr>
                <w:rFonts w:ascii="Arial" w:eastAsia="Arial" w:hAnsi="Arial" w:cs="Arial"/>
                <w:sz w:val="22"/>
                <w:szCs w:val="22"/>
                <w:lang w:val="en-US"/>
              </w:rPr>
              <w:t>Note: The numbering of the roads is conditional and subject to adjustment during the project preparation in accordance with the provisions of RBDG-MAN-025-0108 Infrastructure facilities p. Numbering principles of railway infrastructure.</w:t>
            </w:r>
          </w:p>
          <w:p w14:paraId="053311DB" w14:textId="77777777" w:rsidR="00756EBF" w:rsidRPr="007C17CE" w:rsidRDefault="00756EBF" w:rsidP="00756EBF">
            <w:pPr>
              <w:widowControl/>
              <w:shd w:val="clear" w:color="auto" w:fill="FFFFFF"/>
              <w:spacing w:line="276" w:lineRule="auto"/>
              <w:jc w:val="both"/>
              <w:rPr>
                <w:rFonts w:ascii="Arial" w:eastAsia="Arial" w:hAnsi="Arial" w:cs="Arial"/>
                <w:sz w:val="22"/>
                <w:szCs w:val="22"/>
                <w:lang w:val="en-US"/>
              </w:rPr>
            </w:pPr>
          </w:p>
          <w:p w14:paraId="53128261"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p>
          <w:tbl>
            <w:tblPr>
              <w:tblW w:w="5427" w:type="dxa"/>
              <w:tblBorders>
                <w:top w:val="nil"/>
                <w:left w:val="nil"/>
                <w:bottom w:val="nil"/>
                <w:right w:val="nil"/>
                <w:insideH w:val="single" w:sz="4" w:space="0" w:color="000000" w:themeColor="text1"/>
                <w:insideV w:val="single" w:sz="4" w:space="0" w:color="000000" w:themeColor="text1"/>
              </w:tblBorders>
              <w:tblLayout w:type="fixed"/>
              <w:tblLook w:val="0400" w:firstRow="0" w:lastRow="0" w:firstColumn="0" w:lastColumn="0" w:noHBand="0" w:noVBand="1"/>
            </w:tblPr>
            <w:tblGrid>
              <w:gridCol w:w="590"/>
              <w:gridCol w:w="4837"/>
            </w:tblGrid>
            <w:tr w:rsidR="00756EBF" w:rsidRPr="0045163B" w14:paraId="70076D29" w14:textId="77777777" w:rsidTr="00756EBF">
              <w:trPr>
                <w:trHeight w:val="239"/>
                <w:tblHeader/>
              </w:trPr>
              <w:tc>
                <w:tcPr>
                  <w:tcW w:w="590" w:type="dxa"/>
                </w:tcPr>
                <w:p w14:paraId="41F6EF18"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45163B">
                    <w:rPr>
                      <w:rFonts w:ascii="Arial" w:eastAsia="Arial" w:hAnsi="Arial" w:cs="Arial"/>
                      <w:b/>
                      <w:i/>
                      <w:sz w:val="22"/>
                      <w:szCs w:val="22"/>
                      <w:lang w:val="en-US"/>
                    </w:rPr>
                    <w:t>Serial No.</w:t>
                  </w:r>
                </w:p>
              </w:tc>
              <w:tc>
                <w:tcPr>
                  <w:tcW w:w="4837" w:type="dxa"/>
                  <w:vAlign w:val="center"/>
                </w:tcPr>
                <w:p w14:paraId="11583E9E"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45163B">
                    <w:rPr>
                      <w:rFonts w:ascii="Arial" w:eastAsia="Arial" w:hAnsi="Arial" w:cs="Arial"/>
                      <w:b/>
                      <w:i/>
                      <w:sz w:val="22"/>
                      <w:szCs w:val="22"/>
                      <w:lang w:val="en-US"/>
                    </w:rPr>
                    <w:t>Purpose of the track</w:t>
                  </w:r>
                </w:p>
              </w:tc>
            </w:tr>
            <w:tr w:rsidR="00756EBF" w:rsidRPr="0045163B" w14:paraId="7EAD2170" w14:textId="77777777" w:rsidTr="00756EBF">
              <w:trPr>
                <w:trHeight w:val="239"/>
              </w:trPr>
              <w:tc>
                <w:tcPr>
                  <w:tcW w:w="590" w:type="dxa"/>
                </w:tcPr>
                <w:p w14:paraId="649841BE"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w:t>
                  </w:r>
                </w:p>
              </w:tc>
              <w:tc>
                <w:tcPr>
                  <w:tcW w:w="4837" w:type="dxa"/>
                  <w:vAlign w:val="center"/>
                </w:tcPr>
                <w:p w14:paraId="081CFC4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to the rolling stock service workshop</w:t>
                  </w:r>
                </w:p>
              </w:tc>
            </w:tr>
            <w:tr w:rsidR="00756EBF" w:rsidRPr="0045163B" w14:paraId="781F3E9B" w14:textId="77777777" w:rsidTr="00756EBF">
              <w:trPr>
                <w:trHeight w:val="239"/>
              </w:trPr>
              <w:tc>
                <w:tcPr>
                  <w:tcW w:w="590" w:type="dxa"/>
                </w:tcPr>
                <w:p w14:paraId="18F999B5"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2</w:t>
                  </w:r>
                </w:p>
              </w:tc>
              <w:tc>
                <w:tcPr>
                  <w:tcW w:w="4837" w:type="dxa"/>
                  <w:vAlign w:val="center"/>
                </w:tcPr>
                <w:p w14:paraId="5A56232F"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to the rolling stock service workshop</w:t>
                  </w:r>
                </w:p>
              </w:tc>
            </w:tr>
            <w:tr w:rsidR="00756EBF" w:rsidRPr="0045163B" w14:paraId="5BBBDA78" w14:textId="77777777" w:rsidTr="00756EBF">
              <w:trPr>
                <w:trHeight w:val="239"/>
              </w:trPr>
              <w:tc>
                <w:tcPr>
                  <w:tcW w:w="590" w:type="dxa"/>
                </w:tcPr>
                <w:p w14:paraId="5FCD5EC4"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3</w:t>
                  </w:r>
                </w:p>
              </w:tc>
              <w:tc>
                <w:tcPr>
                  <w:tcW w:w="4837" w:type="dxa"/>
                  <w:vAlign w:val="center"/>
                </w:tcPr>
                <w:p w14:paraId="605F3DF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storage of equipment under the shed</w:t>
                  </w:r>
                </w:p>
              </w:tc>
            </w:tr>
            <w:tr w:rsidR="00756EBF" w:rsidRPr="0045163B" w14:paraId="6A88D9F3" w14:textId="77777777" w:rsidTr="00756EBF">
              <w:trPr>
                <w:trHeight w:val="239"/>
              </w:trPr>
              <w:tc>
                <w:tcPr>
                  <w:tcW w:w="590" w:type="dxa"/>
                </w:tcPr>
                <w:p w14:paraId="2598DEE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4</w:t>
                  </w:r>
                </w:p>
              </w:tc>
              <w:tc>
                <w:tcPr>
                  <w:tcW w:w="4837" w:type="dxa"/>
                  <w:vAlign w:val="center"/>
                </w:tcPr>
                <w:p w14:paraId="23878687"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storage of equipment under the shed</w:t>
                  </w:r>
                </w:p>
              </w:tc>
            </w:tr>
            <w:tr w:rsidR="00756EBF" w:rsidRPr="0045163B" w14:paraId="7D467AA8" w14:textId="77777777" w:rsidTr="00756EBF">
              <w:trPr>
                <w:trHeight w:val="239"/>
              </w:trPr>
              <w:tc>
                <w:tcPr>
                  <w:tcW w:w="590" w:type="dxa"/>
                </w:tcPr>
                <w:p w14:paraId="78941E47"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5</w:t>
                  </w:r>
                </w:p>
              </w:tc>
              <w:tc>
                <w:tcPr>
                  <w:tcW w:w="4837" w:type="dxa"/>
                  <w:vAlign w:val="center"/>
                </w:tcPr>
                <w:p w14:paraId="42364154"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access to the ballast loader</w:t>
                  </w:r>
                </w:p>
              </w:tc>
            </w:tr>
            <w:tr w:rsidR="00756EBF" w:rsidRPr="0045163B" w14:paraId="28A81758" w14:textId="77777777" w:rsidTr="00756EBF">
              <w:trPr>
                <w:trHeight w:val="239"/>
              </w:trPr>
              <w:tc>
                <w:tcPr>
                  <w:tcW w:w="590" w:type="dxa"/>
                </w:tcPr>
                <w:p w14:paraId="29B4EA11"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6</w:t>
                  </w:r>
                </w:p>
              </w:tc>
              <w:tc>
                <w:tcPr>
                  <w:tcW w:w="4837" w:type="dxa"/>
                  <w:vAlign w:val="center"/>
                </w:tcPr>
                <w:p w14:paraId="10DEDF8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to change the direction of the locomotive</w:t>
                  </w:r>
                </w:p>
              </w:tc>
            </w:tr>
            <w:tr w:rsidR="00756EBF" w:rsidRPr="0045163B" w14:paraId="35EF5C15" w14:textId="77777777" w:rsidTr="00756EBF">
              <w:trPr>
                <w:trHeight w:val="239"/>
              </w:trPr>
              <w:tc>
                <w:tcPr>
                  <w:tcW w:w="590" w:type="dxa"/>
                </w:tcPr>
                <w:p w14:paraId="75697EEC"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7</w:t>
                  </w:r>
                </w:p>
              </w:tc>
              <w:tc>
                <w:tcPr>
                  <w:tcW w:w="4837" w:type="dxa"/>
                  <w:vAlign w:val="center"/>
                </w:tcPr>
                <w:p w14:paraId="1C0C2363"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delivery of materials</w:t>
                  </w:r>
                </w:p>
              </w:tc>
            </w:tr>
            <w:tr w:rsidR="00756EBF" w:rsidRPr="0045163B" w14:paraId="1104C464" w14:textId="77777777" w:rsidTr="00756EBF">
              <w:trPr>
                <w:trHeight w:val="239"/>
              </w:trPr>
              <w:tc>
                <w:tcPr>
                  <w:tcW w:w="590" w:type="dxa"/>
                </w:tcPr>
                <w:p w14:paraId="44B0A208"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lastRenderedPageBreak/>
                    <w:t>8</w:t>
                  </w:r>
                </w:p>
              </w:tc>
              <w:tc>
                <w:tcPr>
                  <w:tcW w:w="4837" w:type="dxa"/>
                  <w:vAlign w:val="center"/>
                </w:tcPr>
                <w:p w14:paraId="48A0F784"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delivery of materials</w:t>
                  </w:r>
                </w:p>
              </w:tc>
            </w:tr>
            <w:tr w:rsidR="00756EBF" w:rsidRPr="0045163B" w14:paraId="78D67673" w14:textId="77777777" w:rsidTr="00756EBF">
              <w:trPr>
                <w:trHeight w:val="239"/>
              </w:trPr>
              <w:tc>
                <w:tcPr>
                  <w:tcW w:w="590" w:type="dxa"/>
                </w:tcPr>
                <w:p w14:paraId="2B2B7304"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9</w:t>
                  </w:r>
                </w:p>
              </w:tc>
              <w:tc>
                <w:tcPr>
                  <w:tcW w:w="4837" w:type="dxa"/>
                  <w:vAlign w:val="center"/>
                </w:tcPr>
                <w:p w14:paraId="6B713E9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providing direct access to the depot area (1520mm)</w:t>
                  </w:r>
                </w:p>
              </w:tc>
            </w:tr>
            <w:tr w:rsidR="00756EBF" w:rsidRPr="0045163B" w14:paraId="1F625874" w14:textId="77777777" w:rsidTr="00756EBF">
              <w:trPr>
                <w:trHeight w:val="239"/>
              </w:trPr>
              <w:tc>
                <w:tcPr>
                  <w:tcW w:w="590" w:type="dxa"/>
                </w:tcPr>
                <w:p w14:paraId="5D36975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10</w:t>
                  </w:r>
                </w:p>
              </w:tc>
              <w:tc>
                <w:tcPr>
                  <w:tcW w:w="4837" w:type="dxa"/>
                  <w:vAlign w:val="center"/>
                </w:tcPr>
                <w:p w14:paraId="0DB6827D"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providing access to the depot area from the north and from the south</w:t>
                  </w:r>
                </w:p>
              </w:tc>
            </w:tr>
            <w:tr w:rsidR="00756EBF" w:rsidRPr="0045163B" w14:paraId="3BABD932" w14:textId="77777777" w:rsidTr="00756EBF">
              <w:trPr>
                <w:trHeight w:val="239"/>
              </w:trPr>
              <w:tc>
                <w:tcPr>
                  <w:tcW w:w="590" w:type="dxa"/>
                </w:tcPr>
                <w:p w14:paraId="4737E36C"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11</w:t>
                  </w:r>
                </w:p>
              </w:tc>
              <w:tc>
                <w:tcPr>
                  <w:tcW w:w="4837" w:type="dxa"/>
                  <w:vAlign w:val="center"/>
                </w:tcPr>
                <w:p w14:paraId="278F15D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to change the direction of the locomotive</w:t>
                  </w:r>
                </w:p>
              </w:tc>
            </w:tr>
            <w:tr w:rsidR="00756EBF" w:rsidRPr="0045163B" w14:paraId="15B66D0E" w14:textId="77777777" w:rsidTr="00756EBF">
              <w:trPr>
                <w:trHeight w:val="239"/>
              </w:trPr>
              <w:tc>
                <w:tcPr>
                  <w:tcW w:w="590" w:type="dxa"/>
                </w:tcPr>
                <w:p w14:paraId="4B73E58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12</w:t>
                  </w:r>
                </w:p>
              </w:tc>
              <w:tc>
                <w:tcPr>
                  <w:tcW w:w="4837" w:type="dxa"/>
                  <w:vAlign w:val="center"/>
                </w:tcPr>
                <w:p w14:paraId="6577DEE1"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access to ballast loader (1520 mm)</w:t>
                  </w:r>
                </w:p>
              </w:tc>
            </w:tr>
            <w:tr w:rsidR="00756EBF" w:rsidRPr="0045163B" w14:paraId="6CC47304" w14:textId="77777777" w:rsidTr="00756EBF">
              <w:trPr>
                <w:trHeight w:val="239"/>
              </w:trPr>
              <w:tc>
                <w:tcPr>
                  <w:tcW w:w="590" w:type="dxa"/>
                </w:tcPr>
                <w:p w14:paraId="39F18D2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13</w:t>
                  </w:r>
                </w:p>
              </w:tc>
              <w:tc>
                <w:tcPr>
                  <w:tcW w:w="4837" w:type="dxa"/>
                  <w:vAlign w:val="center"/>
                </w:tcPr>
                <w:p w14:paraId="14AEDCC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changing the direction of the locomotive (1520 mm)</w:t>
                  </w:r>
                </w:p>
              </w:tc>
            </w:tr>
            <w:tr w:rsidR="00756EBF" w:rsidRPr="0045163B" w14:paraId="251B5646" w14:textId="77777777" w:rsidTr="00756EBF">
              <w:trPr>
                <w:trHeight w:val="239"/>
              </w:trPr>
              <w:tc>
                <w:tcPr>
                  <w:tcW w:w="590" w:type="dxa"/>
                </w:tcPr>
                <w:p w14:paraId="382F7979" w14:textId="1BA04CA0" w:rsidR="00756EBF" w:rsidRPr="0045163B" w:rsidRDefault="00756EBF" w:rsidP="0055261E">
                  <w:pPr>
                    <w:jc w:val="center"/>
                    <w:rPr>
                      <w:rFonts w:ascii="Arial" w:eastAsia="Arial" w:hAnsi="Arial" w:cs="Arial"/>
                      <w:sz w:val="22"/>
                      <w:szCs w:val="22"/>
                      <w:lang w:val="en-US"/>
                    </w:rPr>
                  </w:pPr>
                  <w:r w:rsidRPr="0045163B">
                    <w:rPr>
                      <w:rFonts w:ascii="Arial" w:eastAsia="Arial" w:hAnsi="Arial" w:cs="Arial"/>
                      <w:sz w:val="22"/>
                      <w:szCs w:val="22"/>
                      <w:lang w:val="en-US"/>
                    </w:rPr>
                    <w:t>14</w:t>
                  </w:r>
                </w:p>
              </w:tc>
              <w:tc>
                <w:tcPr>
                  <w:tcW w:w="4837" w:type="dxa"/>
                  <w:vAlign w:val="center"/>
                </w:tcPr>
                <w:p w14:paraId="563EC1C4" w14:textId="0182799F" w:rsidR="00756EBF" w:rsidRPr="0045163B" w:rsidRDefault="00756EBF" w:rsidP="0055261E">
                  <w:pPr>
                    <w:jc w:val="both"/>
                    <w:rPr>
                      <w:rFonts w:ascii="Arial" w:eastAsia="Arial" w:hAnsi="Arial" w:cs="Arial"/>
                      <w:sz w:val="22"/>
                      <w:szCs w:val="22"/>
                      <w:lang w:val="en-US"/>
                    </w:rPr>
                  </w:pPr>
                  <w:r w:rsidRPr="0045163B">
                    <w:rPr>
                      <w:rFonts w:ascii="Arial" w:eastAsia="Arial" w:hAnsi="Arial" w:cs="Arial"/>
                      <w:sz w:val="22"/>
                      <w:szCs w:val="22"/>
                      <w:lang w:val="en-US"/>
                    </w:rPr>
                    <w:t>Railway safety siding (1520 mm)</w:t>
                  </w:r>
                </w:p>
              </w:tc>
            </w:tr>
            <w:tr w:rsidR="00756EBF" w:rsidRPr="0045163B" w14:paraId="231FED82" w14:textId="77777777" w:rsidTr="00756EBF">
              <w:trPr>
                <w:trHeight w:val="239"/>
              </w:trPr>
              <w:tc>
                <w:tcPr>
                  <w:tcW w:w="590" w:type="dxa"/>
                </w:tcPr>
                <w:p w14:paraId="4E1E336A" w14:textId="1A1E8720" w:rsidR="00756EBF" w:rsidRPr="0045163B" w:rsidRDefault="00756EBF" w:rsidP="0055261E">
                  <w:pPr>
                    <w:widowControl/>
                    <w:pBdr>
                      <w:top w:val="nil"/>
                      <w:left w:val="nil"/>
                      <w:bottom w:val="nil"/>
                      <w:right w:val="nil"/>
                      <w:between w:val="nil"/>
                    </w:pBdr>
                    <w:shd w:val="clear" w:color="auto" w:fill="FFFFFF" w:themeFill="background1"/>
                    <w:jc w:val="center"/>
                    <w:rPr>
                      <w:rFonts w:ascii="Arial" w:eastAsia="Arial" w:hAnsi="Arial" w:cs="Arial"/>
                      <w:sz w:val="22"/>
                      <w:szCs w:val="22"/>
                      <w:lang w:val="en-US"/>
                    </w:rPr>
                  </w:pPr>
                  <w:r w:rsidRPr="0045163B">
                    <w:rPr>
                      <w:rFonts w:ascii="Arial" w:eastAsia="Arial" w:hAnsi="Arial" w:cs="Arial"/>
                      <w:sz w:val="22"/>
                      <w:szCs w:val="22"/>
                      <w:lang w:val="en-US"/>
                    </w:rPr>
                    <w:t>15</w:t>
                  </w:r>
                </w:p>
              </w:tc>
              <w:tc>
                <w:tcPr>
                  <w:tcW w:w="4837" w:type="dxa"/>
                  <w:vAlign w:val="center"/>
                </w:tcPr>
                <w:p w14:paraId="221307CF"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fire-fighting and rescue trains</w:t>
                  </w:r>
                </w:p>
              </w:tc>
            </w:tr>
            <w:tr w:rsidR="00756EBF" w:rsidRPr="0045163B" w14:paraId="3B42E2D4" w14:textId="77777777" w:rsidTr="00756EBF">
              <w:trPr>
                <w:trHeight w:val="240"/>
              </w:trPr>
              <w:tc>
                <w:tcPr>
                  <w:tcW w:w="590" w:type="dxa"/>
                </w:tcPr>
                <w:p w14:paraId="33CFEC6B" w14:textId="57908D11" w:rsidR="00756EBF" w:rsidRPr="0045163B" w:rsidRDefault="00756EBF" w:rsidP="0055261E">
                  <w:pPr>
                    <w:widowControl/>
                    <w:pBdr>
                      <w:top w:val="nil"/>
                      <w:left w:val="nil"/>
                      <w:bottom w:val="nil"/>
                      <w:right w:val="nil"/>
                      <w:between w:val="nil"/>
                    </w:pBdr>
                    <w:shd w:val="clear" w:color="auto" w:fill="FFFFFF" w:themeFill="background1"/>
                    <w:jc w:val="center"/>
                    <w:rPr>
                      <w:rFonts w:ascii="Arial" w:eastAsia="Arial" w:hAnsi="Arial" w:cs="Arial"/>
                      <w:sz w:val="22"/>
                      <w:szCs w:val="22"/>
                      <w:lang w:val="en-US"/>
                    </w:rPr>
                  </w:pPr>
                  <w:r w:rsidRPr="0045163B">
                    <w:rPr>
                      <w:rFonts w:ascii="Arial" w:eastAsia="Arial" w:hAnsi="Arial" w:cs="Arial"/>
                      <w:sz w:val="22"/>
                      <w:szCs w:val="22"/>
                      <w:lang w:val="en-US"/>
                    </w:rPr>
                    <w:t>16</w:t>
                  </w:r>
                </w:p>
              </w:tc>
              <w:tc>
                <w:tcPr>
                  <w:tcW w:w="4837" w:type="dxa"/>
                  <w:vAlign w:val="center"/>
                </w:tcPr>
                <w:p w14:paraId="7D663A68"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fire-fighting and rescue trains</w:t>
                  </w:r>
                </w:p>
              </w:tc>
            </w:tr>
          </w:tbl>
          <w:p w14:paraId="62486C05"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p>
          <w:p w14:paraId="4101652C" w14:textId="5BE69D3E" w:rsidR="0055261E" w:rsidRPr="0045163B" w:rsidRDefault="00920D4F"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Note: In preparing the design proposals, it should be noted that the layout of the depot track network must be such that turning, moving locomotives and shunting within the depot boundaries does not necessitate the need for exiting onto station tracks or intermediate points, i.e. depot operations do not interfere with train traffic.</w:t>
            </w:r>
          </w:p>
          <w:p w14:paraId="574167DA" w14:textId="77777777" w:rsidR="00920D4F" w:rsidRPr="0045163B" w:rsidRDefault="00920D4F" w:rsidP="0055261E">
            <w:pPr>
              <w:shd w:val="clear" w:color="auto" w:fill="FFFFFF"/>
              <w:spacing w:line="276" w:lineRule="auto"/>
              <w:jc w:val="both"/>
              <w:rPr>
                <w:rFonts w:ascii="Arial" w:eastAsia="Arial" w:hAnsi="Arial" w:cs="Arial"/>
                <w:i/>
                <w:sz w:val="22"/>
                <w:szCs w:val="22"/>
                <w:lang w:val="en-US"/>
              </w:rPr>
            </w:pPr>
          </w:p>
          <w:p w14:paraId="3084E677" w14:textId="602679D7" w:rsidR="00920D4F"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6.8. Motorway connections:</w:t>
            </w:r>
          </w:p>
          <w:p w14:paraId="130D2CD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Track category – Iv;</w:t>
            </w:r>
          </w:p>
          <w:p w14:paraId="06E5717F" w14:textId="5E4B6C90"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width of the traffic lane – 3.0 m;</w:t>
            </w:r>
          </w:p>
          <w:p w14:paraId="5E854E0E"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Number of traffic lanes – 2 pcs.;</w:t>
            </w:r>
          </w:p>
          <w:p w14:paraId="0BE0F3FB"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Intersection of different levels on the railway line </w:t>
            </w:r>
            <w:proofErr w:type="spellStart"/>
            <w:r w:rsidRPr="0045163B">
              <w:rPr>
                <w:rFonts w:ascii="Arial" w:eastAsia="Arial" w:hAnsi="Arial" w:cs="Arial"/>
                <w:sz w:val="22"/>
                <w:szCs w:val="22"/>
                <w:lang w:val="en-US"/>
              </w:rPr>
              <w:t>Palemonas</w:t>
            </w:r>
            <w:proofErr w:type="spellEnd"/>
            <w:r w:rsidRPr="0045163B">
              <w:rPr>
                <w:rFonts w:ascii="Arial" w:eastAsia="Arial" w:hAnsi="Arial" w:cs="Arial"/>
                <w:sz w:val="22"/>
                <w:szCs w:val="22"/>
                <w:lang w:val="en-US"/>
              </w:rPr>
              <w:t xml:space="preserve"> – </w:t>
            </w:r>
            <w:proofErr w:type="spellStart"/>
            <w:r w:rsidRPr="0045163B">
              <w:rPr>
                <w:rFonts w:ascii="Arial" w:eastAsia="Arial" w:hAnsi="Arial" w:cs="Arial"/>
                <w:sz w:val="22"/>
                <w:szCs w:val="22"/>
                <w:lang w:val="en-US"/>
              </w:rPr>
              <w:t>Gaižiūnai</w:t>
            </w:r>
            <w:proofErr w:type="spellEnd"/>
            <w:r w:rsidRPr="0045163B">
              <w:rPr>
                <w:rFonts w:ascii="Arial" w:eastAsia="Arial" w:hAnsi="Arial" w:cs="Arial"/>
                <w:sz w:val="22"/>
                <w:szCs w:val="22"/>
                <w:lang w:val="en-US"/>
              </w:rPr>
              <w:t>. The height of the planned viaduct above the railway track is at least 7.3 m.</w:t>
            </w:r>
          </w:p>
          <w:p w14:paraId="4B99056E" w14:textId="77777777" w:rsidR="0055261E" w:rsidRPr="0045163B" w:rsidRDefault="0055261E" w:rsidP="0055261E">
            <w:pPr>
              <w:widowControl/>
              <w:spacing w:line="276" w:lineRule="auto"/>
              <w:jc w:val="both"/>
              <w:rPr>
                <w:rFonts w:ascii="Arial" w:eastAsia="Arial" w:hAnsi="Arial" w:cs="Arial"/>
                <w:sz w:val="22"/>
                <w:szCs w:val="22"/>
                <w:lang w:val="en-US"/>
              </w:rPr>
            </w:pPr>
          </w:p>
          <w:p w14:paraId="1DB68316" w14:textId="77777777"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6.9. Partitions protecting against noise:</w:t>
            </w:r>
          </w:p>
          <w:p w14:paraId="58B8C703" w14:textId="43FBDDCA"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sz w:val="22"/>
                <w:szCs w:val="22"/>
                <w:lang w:val="en-US"/>
              </w:rPr>
              <w:t>Taking into account the conditions of the area, as well as the measures provided for in the EIA report, partitions protecting against noise will have to be designed</w:t>
            </w:r>
            <w:r w:rsidR="00901205" w:rsidRPr="0045163B">
              <w:rPr>
                <w:rFonts w:ascii="Arial" w:eastAsia="Arial" w:hAnsi="Arial" w:cs="Arial"/>
                <w:sz w:val="22"/>
                <w:szCs w:val="22"/>
                <w:lang w:val="en-US"/>
              </w:rPr>
              <w:t xml:space="preserve"> </w:t>
            </w:r>
            <w:r w:rsidR="00901205" w:rsidRPr="007C17CE">
              <w:rPr>
                <w:rFonts w:ascii="Arial" w:eastAsia="Arial" w:hAnsi="Arial" w:cs="Arial"/>
                <w:sz w:val="22"/>
                <w:szCs w:val="22"/>
                <w:lang w:val="en-US"/>
              </w:rPr>
              <w:t>(if needed)</w:t>
            </w:r>
            <w:r w:rsidRPr="007C17CE">
              <w:rPr>
                <w:rFonts w:ascii="Arial" w:eastAsia="Arial" w:hAnsi="Arial" w:cs="Arial"/>
                <w:sz w:val="22"/>
                <w:szCs w:val="22"/>
                <w:lang w:val="en-US"/>
              </w:rPr>
              <w:t xml:space="preserve">. Structural </w:t>
            </w:r>
            <w:r w:rsidRPr="0045163B">
              <w:rPr>
                <w:rFonts w:ascii="Arial" w:eastAsia="Arial" w:hAnsi="Arial" w:cs="Arial"/>
                <w:sz w:val="22"/>
                <w:szCs w:val="22"/>
                <w:lang w:val="en-US"/>
              </w:rPr>
              <w:t xml:space="preserve">solutions are selected taking into account the conditions of the area and are combined during the project preparation. Coordinate the architectural solutions of the noise protection wall with the Customer during the project preparation. When choosing the foundations, the protection of the existing engineering networks must be ensured, if it is not possible to raise the engineering networks. Adequate drainage/waterproofing systems </w:t>
            </w:r>
            <w:r w:rsidRPr="0045163B">
              <w:rPr>
                <w:rFonts w:ascii="Arial" w:eastAsia="Arial" w:hAnsi="Arial" w:cs="Arial"/>
                <w:sz w:val="22"/>
                <w:szCs w:val="22"/>
                <w:lang w:val="en-US"/>
              </w:rPr>
              <w:lastRenderedPageBreak/>
              <w:t>must be provided for supporting structures.</w:t>
            </w:r>
          </w:p>
          <w:p w14:paraId="1299C43A" w14:textId="77777777" w:rsidR="0055261E" w:rsidRPr="0045163B" w:rsidRDefault="0055261E" w:rsidP="0055261E">
            <w:pPr>
              <w:widowControl/>
              <w:spacing w:line="276" w:lineRule="auto"/>
              <w:jc w:val="both"/>
              <w:rPr>
                <w:rFonts w:ascii="Arial" w:eastAsia="Arial" w:hAnsi="Arial" w:cs="Arial"/>
                <w:sz w:val="22"/>
                <w:szCs w:val="22"/>
                <w:lang w:val="en-US"/>
              </w:rPr>
            </w:pPr>
          </w:p>
          <w:p w14:paraId="10A9FF35" w14:textId="77777777" w:rsidR="0055261E"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6.10. Energy demand and heat production:</w:t>
            </w:r>
          </w:p>
          <w:p w14:paraId="7E76C215" w14:textId="77777777" w:rsidR="00394134" w:rsidRPr="007C17CE" w:rsidRDefault="00394134" w:rsidP="00394134">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t>The energy and power requirements should be calculated by the designer. The capacities shown are indicative and subject to adjustment during the design proposals. The client reserves the right to disagree with and/or comment on the proposed solutions if the revised solutions can reduce installation/operating costs.</w:t>
            </w:r>
          </w:p>
          <w:p w14:paraId="33311EC9" w14:textId="77777777" w:rsidR="00394134" w:rsidRPr="0045163B" w:rsidRDefault="00394134" w:rsidP="0055261E">
            <w:pPr>
              <w:shd w:val="clear" w:color="auto" w:fill="FFFFFF"/>
              <w:spacing w:line="276" w:lineRule="auto"/>
              <w:jc w:val="both"/>
              <w:rPr>
                <w:rFonts w:ascii="Arial" w:eastAsia="Arial" w:hAnsi="Arial" w:cs="Arial"/>
                <w:b/>
                <w:sz w:val="22"/>
                <w:szCs w:val="22"/>
                <w:lang w:val="en-US"/>
              </w:rPr>
            </w:pPr>
          </w:p>
          <w:p w14:paraId="60386570" w14:textId="72E2A261" w:rsidR="0055261E" w:rsidRPr="0045163B" w:rsidRDefault="0055261E" w:rsidP="0055261E">
            <w:pPr>
              <w:shd w:val="clear" w:color="auto" w:fill="FFFFFF"/>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All buildings are planned to be heated with heat pumps</w:t>
            </w:r>
            <w:r w:rsidR="007E593E" w:rsidRPr="0045163B">
              <w:rPr>
                <w:rFonts w:ascii="Arial" w:eastAsia="Arial" w:hAnsi="Arial" w:cs="Arial"/>
                <w:sz w:val="22"/>
                <w:szCs w:val="22"/>
                <w:lang w:val="en-US"/>
              </w:rPr>
              <w:t>.</w:t>
            </w:r>
          </w:p>
          <w:p w14:paraId="0A454406" w14:textId="540FA84D"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- 330 kV, 110 kV, 10 kV, 0.4 kV power transmission systems are not installed in the territory of the railway infrastructure maintenance depot. When solving the issues of access tracks, 10 kV and 0.4 kV electricity transmission lines are crossed in the villages of </w:t>
            </w:r>
            <w:proofErr w:type="spellStart"/>
            <w:r w:rsidRPr="0045163B">
              <w:rPr>
                <w:rFonts w:ascii="Arial" w:eastAsia="Arial" w:hAnsi="Arial" w:cs="Arial"/>
                <w:sz w:val="22"/>
                <w:szCs w:val="22"/>
                <w:lang w:val="en-US"/>
              </w:rPr>
              <w:t>Neveronys</w:t>
            </w:r>
            <w:proofErr w:type="spellEnd"/>
            <w:r w:rsidRPr="0045163B">
              <w:rPr>
                <w:rFonts w:ascii="Arial" w:eastAsia="Arial" w:hAnsi="Arial" w:cs="Arial"/>
                <w:sz w:val="22"/>
                <w:szCs w:val="22"/>
                <w:lang w:val="en-US"/>
              </w:rPr>
              <w:t xml:space="preserve"> and </w:t>
            </w:r>
            <w:proofErr w:type="spellStart"/>
            <w:r w:rsidRPr="0045163B">
              <w:rPr>
                <w:rFonts w:ascii="Arial" w:eastAsia="Arial" w:hAnsi="Arial" w:cs="Arial"/>
                <w:sz w:val="22"/>
                <w:szCs w:val="22"/>
                <w:lang w:val="en-US"/>
              </w:rPr>
              <w:t>Pabiržys</w:t>
            </w:r>
            <w:proofErr w:type="spellEnd"/>
            <w:r w:rsidRPr="0045163B">
              <w:rPr>
                <w:rFonts w:ascii="Arial" w:eastAsia="Arial" w:hAnsi="Arial" w:cs="Arial"/>
                <w:sz w:val="22"/>
                <w:szCs w:val="22"/>
                <w:lang w:val="en-US"/>
              </w:rPr>
              <w:t>.</w:t>
            </w:r>
          </w:p>
          <w:p w14:paraId="247179DD" w14:textId="531D08B4"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These data must be adjusted during design.</w:t>
            </w:r>
          </w:p>
          <w:p w14:paraId="033E440B"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For electric chargers for light and heavy cars and railway vehicles. </w:t>
            </w:r>
          </w:p>
          <w:p w14:paraId="760CC1E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For electric chargers of hybrid and battery electric rolling stock (maintenance equipment, railway locomotives).</w:t>
            </w:r>
          </w:p>
          <w:p w14:paraId="472C48D3"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These data must be adjusted during the design.</w:t>
            </w:r>
          </w:p>
          <w:p w14:paraId="0ED52646" w14:textId="3133722E"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installation of lighting in the area must be provided in accordance with the valid hygiene standards (including the lighting of the spits). Electric heating of the coils must also be provided.</w:t>
            </w:r>
          </w:p>
          <w:p w14:paraId="23469883"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Design the raising or protection of utility networks (appearing in the construction zone). The decision to raise and protect cables must not complicate the maintenance of underground networks, if necessary – their repair. The reconstruction (elevation) of all power lines and reclamation structures must be provided in accordance with the issued design conditions.</w:t>
            </w:r>
          </w:p>
          <w:p w14:paraId="4DDBEF00"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p>
          <w:p w14:paraId="78A4362C" w14:textId="77777777" w:rsidR="0055261E"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6.11. Water demand and wastewater management</w:t>
            </w:r>
          </w:p>
          <w:p w14:paraId="2C103072" w14:textId="64C79397" w:rsidR="0055261E" w:rsidRPr="007C17CE"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It is proposed to connect the railway infrastructure maintenance depot to the centralized drinking water supply and wastewater management system of the village of </w:t>
            </w:r>
            <w:proofErr w:type="spellStart"/>
            <w:r w:rsidRPr="0045163B">
              <w:rPr>
                <w:rFonts w:ascii="Arial" w:eastAsia="Arial" w:hAnsi="Arial" w:cs="Arial"/>
                <w:sz w:val="22"/>
                <w:szCs w:val="22"/>
                <w:lang w:val="en-US"/>
              </w:rPr>
              <w:t>Neveronys</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Pabiržys</w:t>
            </w:r>
            <w:proofErr w:type="spellEnd"/>
            <w:r w:rsidRPr="0045163B">
              <w:rPr>
                <w:rFonts w:ascii="Arial" w:eastAsia="Arial" w:hAnsi="Arial" w:cs="Arial"/>
                <w:sz w:val="22"/>
                <w:szCs w:val="22"/>
                <w:lang w:val="en-US"/>
              </w:rPr>
              <w:t>.</w:t>
            </w:r>
            <w:r w:rsidR="00CA73B1" w:rsidRPr="0045163B">
              <w:rPr>
                <w:rFonts w:ascii="Arial" w:eastAsia="Arial" w:hAnsi="Arial" w:cs="Arial"/>
                <w:sz w:val="22"/>
                <w:szCs w:val="22"/>
                <w:lang w:val="en-US"/>
              </w:rPr>
              <w:t xml:space="preserve"> </w:t>
            </w:r>
            <w:r w:rsidR="00CA73B1" w:rsidRPr="007C17CE">
              <w:rPr>
                <w:rFonts w:ascii="Arial" w:eastAsia="Arial" w:hAnsi="Arial" w:cs="Arial"/>
                <w:sz w:val="22"/>
                <w:szCs w:val="22"/>
                <w:lang w:val="en-US"/>
              </w:rPr>
              <w:t>Water and wastewater requirements must be provided in accordance with current hygiene standards. The number of staff is planned to be 114, as well as for the replenishment of the fire and rescue train, approximately 23 tones.</w:t>
            </w:r>
          </w:p>
          <w:p w14:paraId="10CEC4C3" w14:textId="77777777" w:rsidR="00AC7C1C" w:rsidRPr="007C17CE" w:rsidRDefault="00AC7C1C" w:rsidP="0055261E">
            <w:pPr>
              <w:jc w:val="both"/>
              <w:rPr>
                <w:rFonts w:ascii="Arial" w:eastAsia="Arial" w:hAnsi="Arial" w:cs="Arial"/>
                <w:b/>
                <w:sz w:val="22"/>
                <w:szCs w:val="22"/>
                <w:lang w:val="en-US"/>
              </w:rPr>
            </w:pPr>
            <w:bookmarkStart w:id="0" w:name="bookmark=id.1fob9te" w:colFirst="0" w:colLast="0"/>
            <w:bookmarkEnd w:id="0"/>
          </w:p>
          <w:p w14:paraId="19F1CCEB" w14:textId="4AE3660C" w:rsidR="0055261E" w:rsidRPr="0045163B" w:rsidRDefault="0055261E" w:rsidP="0055261E">
            <w:pPr>
              <w:jc w:val="both"/>
              <w:rPr>
                <w:rFonts w:ascii="Arial" w:eastAsia="Arial" w:hAnsi="Arial" w:cs="Arial"/>
                <w:b/>
                <w:sz w:val="22"/>
                <w:szCs w:val="22"/>
                <w:lang w:val="en-US"/>
              </w:rPr>
            </w:pPr>
            <w:r w:rsidRPr="0045163B">
              <w:rPr>
                <w:rFonts w:ascii="Arial" w:eastAsia="Arial" w:hAnsi="Arial" w:cs="Arial"/>
                <w:b/>
                <w:sz w:val="22"/>
                <w:szCs w:val="22"/>
                <w:lang w:val="en-US"/>
              </w:rPr>
              <w:t>6.12. Engineering network solutions</w:t>
            </w:r>
          </w:p>
          <w:p w14:paraId="055D8FA5" w14:textId="77777777" w:rsidR="0055261E" w:rsidRPr="0045163B" w:rsidRDefault="0055261E" w:rsidP="0055261E">
            <w:pPr>
              <w:jc w:val="both"/>
              <w:rPr>
                <w:rFonts w:ascii="Arial" w:eastAsia="Arial" w:hAnsi="Arial" w:cs="Arial"/>
                <w:sz w:val="22"/>
                <w:szCs w:val="22"/>
                <w:u w:val="single"/>
                <w:lang w:val="en-US"/>
              </w:rPr>
            </w:pPr>
            <w:r w:rsidRPr="0045163B">
              <w:rPr>
                <w:rFonts w:ascii="Arial" w:eastAsia="Arial" w:hAnsi="Arial" w:cs="Arial"/>
                <w:sz w:val="22"/>
                <w:szCs w:val="22"/>
                <w:u w:val="single"/>
                <w:lang w:val="en-US"/>
              </w:rPr>
              <w:t>6.12.1. General requirements:</w:t>
            </w:r>
          </w:p>
          <w:p w14:paraId="76B41A27"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To design the raising or protection of engineering networks and their related facilities (appearing in the construction zone). The solutions for the raising and protection of cables and pipelines must not complicate the maintenance of underground networks, in case of need - their repair. The reconstruction (raising) of all existing engineering networks must be planned according to the issued design conditions.</w:t>
            </w:r>
          </w:p>
          <w:p w14:paraId="6C31BB9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drawings must clearly indicate the boundaries of the railway plot and the boundaries of the railway protection zone (Right-of-Way zone). In addition, all horizontal distances from the outer part of the railway track must be indicated.</w:t>
            </w:r>
          </w:p>
          <w:p w14:paraId="6A942C04"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it is necessary to try to minimize the crossing of the railway track with engineering networks.</w:t>
            </w:r>
          </w:p>
          <w:p w14:paraId="30CB4801" w14:textId="640E78B7"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cases where it is necessary to cross a railway with engineering networks perpendicular to the axis of the railway, the pipelines of the engineering networks must be in protective cases, the ends of which, wells and other equipment must be outside the boundaries of the railway plot (taking into account the possibilities of safe operation). It is prohibited to design engineering networks of third parties on the railway plot without the written consent of LTG Infra. The presence of any equipment not directly related to the functioning of the railway track and its facilities in the area of ​​the railway plot must be technically justified in writing and a diagram of how the equipment will be operated and which institution/company will be responsible for it must be provided.</w:t>
            </w:r>
          </w:p>
          <w:p w14:paraId="371F6010"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choosing pipelines, pipeline protective cases and any equipment related to them, it is necessary to take into account the fact that there may be stray electric currents under the railway track, which can affect the operation and safety of engineering networks.</w:t>
            </w:r>
          </w:p>
          <w:p w14:paraId="14F631EE" w14:textId="4FFBB37E"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engineering networks, it is necessary to take into account Annex No. 14 (Utilities Requirements) and its latest changes, as far as it does not conflict with the requirements of the legal acts and technical normative documentation of the Republic of Lithuania.</w:t>
            </w:r>
          </w:p>
          <w:p w14:paraId="71FC2D29" w14:textId="1136C390"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the design proposals and the Master detailed technical design, it is necessary to foresee and indicate in the drawings all new engineering field networks (as well as related equipment, reservoirs) and their technical parameters, which are necessary for the Kaunas railway infrastructure maintenance depot. Places where the Kaunas railway infrastructure maintenance depot could connect to the existing field engineering networks must be clearly marked in the drawings (water supply networks, domestic sewage networks, centralized heating networks, rainwater networks, fire water supply networks, electricity networks, other engineering networks necessary according to the specifics of the project).</w:t>
            </w:r>
          </w:p>
          <w:p w14:paraId="35E17C06"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Engineering network protection zones and their distances must be marked on the drawings.</w:t>
            </w:r>
          </w:p>
          <w:p w14:paraId="5C4CFE6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The explanatory note must contain an indicative map with all engineering networks (their names, technical parameters) crossing the railway plot and the railway track. In addition, a table must be provided with engineering networks crossing the railway (their names, technical parameters), pickets of the railway section and the deepening (meters) of the engineering networks crossing the railway, which is calculated from the top of the protective case to the rail sole.</w:t>
            </w:r>
          </w:p>
          <w:p w14:paraId="346ABA4F" w14:textId="4A023326"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Project proposals and the Master detailed technical design must contain an indicative map with all existing engineering networks that cross the Kaunas railway infrastructure maintenance depot plot area. Different engineering networks must be indicated by continuous lines (not dotted), different colors and included in the summary of conventional designations.</w:t>
            </w:r>
          </w:p>
          <w:p w14:paraId="759B19FD"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 the documents and drawings, the diameter of the pipelines and their protective cases must be given in DN, internal and external. In addition, tables must be provided in which, next to DN, inner diameter, outer diameter, the material of the pipeline or its protective case must be indicated, ring stiffness </w:t>
            </w:r>
            <w:proofErr w:type="spellStart"/>
            <w:r w:rsidRPr="0045163B">
              <w:rPr>
                <w:rFonts w:ascii="Arial" w:eastAsia="Arial" w:hAnsi="Arial" w:cs="Arial"/>
                <w:sz w:val="22"/>
                <w:szCs w:val="22"/>
                <w:lang w:val="en-US"/>
              </w:rPr>
              <w:t>kN</w:t>
            </w:r>
            <w:proofErr w:type="spellEnd"/>
            <w:r w:rsidRPr="0045163B">
              <w:rPr>
                <w:rFonts w:ascii="Arial" w:eastAsia="Arial" w:hAnsi="Arial" w:cs="Arial"/>
                <w:sz w:val="22"/>
                <w:szCs w:val="22"/>
                <w:lang w:val="en-US"/>
              </w:rPr>
              <w:t>/m2, pressure class PN, standard dimensional ratio SDR, wall thickness and other technical parameters specific to the pipeline or protective case.</w:t>
            </w:r>
          </w:p>
          <w:p w14:paraId="43E070AA"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Along the railway line (parallel to the railway tracks), third-party networks cannot be designed on the railway plot.</w:t>
            </w:r>
          </w:p>
          <w:p w14:paraId="0E222D25"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Each third party network must be designed in such a way that its service does not require access to the railway site area.</w:t>
            </w:r>
          </w:p>
          <w:p w14:paraId="1713BDFD"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Engineering networks cannot be laid in unstable soils or in places where there is a risk of landslides.</w:t>
            </w:r>
          </w:p>
          <w:p w14:paraId="4E89E179" w14:textId="4C0899BA"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underground engineering networks crossing railway tracks that will be laid before the construction of railway tracks must be designed with an open way of laying them.</w:t>
            </w:r>
          </w:p>
          <w:p w14:paraId="3093E959" w14:textId="6AB6750C"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underground engineering networks crossing railway tracks that will be laid after the construction of railway tracks must be designed with a closed way of laying them.</w:t>
            </w:r>
          </w:p>
          <w:p w14:paraId="12BE019B"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engineering networks, which are indicated in the fire safety section, must be designed in accordance with the valid fire safety and fire safety requirements of the Republic of Lithuania.</w:t>
            </w:r>
          </w:p>
          <w:p w14:paraId="0D8D58B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engineering networks, it is mandatory to comply with the requirements of the laws and normative documents in force in the Republic of Lithuania applicable to the object of procurement, LST, LST-EN, LST-ISO, take into account the requirements in force in the EU, and if national and EU regulations are insufficient to ensure the quality, economy, durability and safety of the solution, it is also recommended to rely on internationally recognized NFPA, ASHRAE and other standards.</w:t>
            </w:r>
          </w:p>
          <w:p w14:paraId="4756349D" w14:textId="73F2333C"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It is necessary to show the cross-sections in the design proposals and </w:t>
            </w:r>
            <w:proofErr w:type="spellStart"/>
            <w:r w:rsidRPr="0045163B">
              <w:rPr>
                <w:rFonts w:ascii="Arial" w:eastAsia="Arial" w:hAnsi="Arial" w:cs="Arial"/>
                <w:sz w:val="22"/>
                <w:szCs w:val="22"/>
                <w:lang w:val="en-US"/>
              </w:rPr>
              <w:t>theMaster</w:t>
            </w:r>
            <w:proofErr w:type="spellEnd"/>
            <w:r w:rsidRPr="0045163B">
              <w:rPr>
                <w:rFonts w:ascii="Arial" w:eastAsia="Arial" w:hAnsi="Arial" w:cs="Arial"/>
                <w:sz w:val="22"/>
                <w:szCs w:val="22"/>
                <w:lang w:val="en-US"/>
              </w:rPr>
              <w:t xml:space="preserve"> detailed technical design, indicating the depths of all existing underground communications, the distances to other engineering networks and the boundaries of the protection zone and Right-of-Way zone of the plot managed by the trust of AB LTG Infra and railway tracks and their facilities.</w:t>
            </w:r>
          </w:p>
          <w:p w14:paraId="513791A4" w14:textId="6C29D90E"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Project proposals and Master detailed technical design must include a coordinating drawing of all engineering networks with detailed technical parameters. When submitting drawings of engineering networks, all valid standards of the Republic of Lithuania must be followed, in particular: LST 1569. “Design for construction works - Graphical symbols for engineering services in the field; LST 1516. Design of construction works - General requirements; LST 156/1K. Design of construction works - General requirements.</w:t>
            </w:r>
          </w:p>
          <w:p w14:paraId="64725101" w14:textId="470019C1" w:rsidR="0055261E" w:rsidRPr="0045163B" w:rsidRDefault="0055261E" w:rsidP="00925080">
            <w:pPr>
              <w:widowControl/>
              <w:numPr>
                <w:ilvl w:val="0"/>
                <w:numId w:val="9"/>
              </w:numPr>
              <w:pBdr>
                <w:top w:val="nil"/>
                <w:left w:val="nil"/>
                <w:bottom w:val="nil"/>
                <w:right w:val="nil"/>
                <w:between w:val="nil"/>
              </w:pBdr>
              <w:shd w:val="clear" w:color="auto" w:fill="FFFFFF" w:themeFill="background1"/>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The installation of lighting in the area must be provided in accordance with the valid hygiene standards (including the lighting of the turnouts). Electric heating of the turnouts must also be provided.</w:t>
            </w:r>
          </w:p>
          <w:p w14:paraId="404895FA" w14:textId="6D02FA75" w:rsidR="0055261E" w:rsidRPr="0045163B" w:rsidRDefault="0055261E" w:rsidP="00925080">
            <w:pPr>
              <w:widowControl/>
              <w:numPr>
                <w:ilvl w:val="0"/>
                <w:numId w:val="9"/>
              </w:numPr>
              <w:pBdr>
                <w:top w:val="nil"/>
                <w:left w:val="nil"/>
                <w:bottom w:val="nil"/>
                <w:right w:val="nil"/>
                <w:between w:val="nil"/>
              </w:pBdr>
              <w:shd w:val="clear" w:color="auto" w:fill="FFFFFF"/>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must obtain all necessary conditions, </w:t>
            </w:r>
            <w:r w:rsidR="00AC7C1C" w:rsidRPr="0045163B">
              <w:rPr>
                <w:rFonts w:ascii="Arial" w:eastAsia="Arial" w:hAnsi="Arial" w:cs="Arial"/>
                <w:sz w:val="22"/>
                <w:szCs w:val="22"/>
                <w:lang w:val="en-US"/>
              </w:rPr>
              <w:t>technical</w:t>
            </w:r>
            <w:r w:rsidRPr="0045163B">
              <w:rPr>
                <w:rFonts w:ascii="Arial" w:eastAsia="Arial" w:hAnsi="Arial" w:cs="Arial"/>
                <w:sz w:val="22"/>
                <w:szCs w:val="22"/>
                <w:lang w:val="en-US"/>
              </w:rPr>
              <w:t xml:space="preserve"> specifications, input data for </w:t>
            </w:r>
            <w:r w:rsidR="00AC7C1C" w:rsidRPr="0045163B">
              <w:rPr>
                <w:rFonts w:ascii="Arial" w:eastAsia="Arial" w:hAnsi="Arial" w:cs="Arial"/>
                <w:sz w:val="22"/>
                <w:szCs w:val="22"/>
                <w:lang w:val="en-US"/>
              </w:rPr>
              <w:t>reconstruction</w:t>
            </w:r>
            <w:r w:rsidRPr="0045163B">
              <w:rPr>
                <w:rFonts w:ascii="Arial" w:eastAsia="Arial" w:hAnsi="Arial" w:cs="Arial"/>
                <w:sz w:val="22"/>
                <w:szCs w:val="22"/>
                <w:lang w:val="en-US"/>
              </w:rPr>
              <w:t xml:space="preserve">/relocation of existing engineering networks (utilities), obtain approvals from the </w:t>
            </w:r>
            <w:r w:rsidR="00AC7C1C" w:rsidRPr="0045163B">
              <w:rPr>
                <w:rFonts w:ascii="Arial" w:eastAsia="Arial" w:hAnsi="Arial" w:cs="Arial"/>
                <w:sz w:val="22"/>
                <w:szCs w:val="22"/>
                <w:lang w:val="en-US"/>
              </w:rPr>
              <w:t>utilities</w:t>
            </w:r>
            <w:r w:rsidRPr="0045163B">
              <w:rPr>
                <w:rFonts w:ascii="Arial" w:eastAsia="Arial" w:hAnsi="Arial" w:cs="Arial"/>
                <w:sz w:val="22"/>
                <w:szCs w:val="22"/>
                <w:lang w:val="en-US"/>
              </w:rPr>
              <w:t xml:space="preserve">‘ owners and </w:t>
            </w:r>
            <w:r w:rsidR="00AC7C1C" w:rsidRPr="0045163B">
              <w:rPr>
                <w:rFonts w:ascii="Arial" w:eastAsia="Arial" w:hAnsi="Arial" w:cs="Arial"/>
                <w:sz w:val="22"/>
                <w:szCs w:val="22"/>
                <w:lang w:val="en-US"/>
              </w:rPr>
              <w:t>building</w:t>
            </w:r>
            <w:r w:rsidRPr="0045163B">
              <w:rPr>
                <w:rFonts w:ascii="Arial" w:eastAsia="Arial" w:hAnsi="Arial" w:cs="Arial"/>
                <w:sz w:val="22"/>
                <w:szCs w:val="22"/>
                <w:lang w:val="en-US"/>
              </w:rPr>
              <w:t xml:space="preserve"> permits where relevant.</w:t>
            </w:r>
          </w:p>
          <w:p w14:paraId="211F8D8D" w14:textId="77777777" w:rsidR="0055261E" w:rsidRPr="0045163B" w:rsidRDefault="0055261E" w:rsidP="0055261E">
            <w:pPr>
              <w:pBdr>
                <w:top w:val="nil"/>
                <w:left w:val="nil"/>
                <w:bottom w:val="nil"/>
                <w:right w:val="nil"/>
                <w:between w:val="nil"/>
              </w:pBdr>
              <w:shd w:val="clear" w:color="auto" w:fill="FFFFFF"/>
              <w:jc w:val="both"/>
              <w:rPr>
                <w:rFonts w:ascii="Arial" w:eastAsia="Arial" w:hAnsi="Arial" w:cs="Arial"/>
                <w:i/>
                <w:sz w:val="22"/>
                <w:szCs w:val="22"/>
                <w:lang w:val="en-US"/>
              </w:rPr>
            </w:pPr>
            <w:r w:rsidRPr="0045163B">
              <w:rPr>
                <w:rFonts w:ascii="Arial" w:eastAsia="Arial" w:hAnsi="Arial" w:cs="Arial"/>
                <w:i/>
                <w:sz w:val="22"/>
                <w:szCs w:val="22"/>
                <w:lang w:val="en-US"/>
              </w:rPr>
              <w:t>Note: The indicated location of the designed objects (km) and the scope of procurement are indicative and will be specified during the preparation of the project.</w:t>
            </w:r>
          </w:p>
          <w:p w14:paraId="3CF2D8B6" w14:textId="77777777" w:rsidR="0055261E" w:rsidRPr="0045163B" w:rsidRDefault="0055261E" w:rsidP="0055261E">
            <w:pPr>
              <w:widowControl/>
              <w:shd w:val="clear" w:color="auto" w:fill="FFFFFF"/>
              <w:jc w:val="both"/>
              <w:rPr>
                <w:rFonts w:ascii="Arial" w:eastAsia="Arial" w:hAnsi="Arial" w:cs="Arial"/>
                <w:sz w:val="22"/>
                <w:szCs w:val="22"/>
                <w:lang w:val="en-US"/>
              </w:rPr>
            </w:pPr>
          </w:p>
          <w:p w14:paraId="5FD28D41" w14:textId="77777777" w:rsidR="0055261E" w:rsidRPr="0045163B" w:rsidRDefault="0055261E" w:rsidP="0055261E">
            <w:pPr>
              <w:jc w:val="both"/>
              <w:rPr>
                <w:rFonts w:ascii="Arial" w:eastAsia="Arial" w:hAnsi="Arial" w:cs="Arial"/>
                <w:b/>
                <w:sz w:val="22"/>
                <w:szCs w:val="22"/>
                <w:lang w:val="en-US"/>
              </w:rPr>
            </w:pPr>
            <w:r w:rsidRPr="0045163B">
              <w:rPr>
                <w:rFonts w:ascii="Arial" w:eastAsia="Arial" w:hAnsi="Arial" w:cs="Arial"/>
                <w:b/>
                <w:sz w:val="22"/>
                <w:szCs w:val="22"/>
                <w:lang w:val="en-US"/>
              </w:rPr>
              <w:t>6.13. Technical parameters of other projected transport structures</w:t>
            </w:r>
          </w:p>
          <w:p w14:paraId="72CC6C21" w14:textId="77777777" w:rsidR="0055261E" w:rsidRPr="0045163B" w:rsidRDefault="0055261E" w:rsidP="0055261E">
            <w:pPr>
              <w:shd w:val="clear" w:color="auto" w:fill="FFFFFF"/>
              <w:jc w:val="both"/>
              <w:rPr>
                <w:rFonts w:ascii="Arial" w:eastAsia="Arial" w:hAnsi="Arial" w:cs="Arial"/>
                <w:sz w:val="22"/>
                <w:szCs w:val="22"/>
                <w:u w:val="single"/>
                <w:lang w:val="en-US"/>
              </w:rPr>
            </w:pPr>
            <w:r w:rsidRPr="0045163B">
              <w:rPr>
                <w:rFonts w:ascii="Arial" w:eastAsia="Arial" w:hAnsi="Arial" w:cs="Arial"/>
                <w:sz w:val="22"/>
                <w:szCs w:val="22"/>
                <w:u w:val="single"/>
                <w:lang w:val="en-US"/>
              </w:rPr>
              <w:t>6.13.1. General requirements:</w:t>
            </w:r>
          </w:p>
          <w:p w14:paraId="55EEE80D"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All road and railway intersections should be designed at different levels. </w:t>
            </w:r>
          </w:p>
          <w:p w14:paraId="3C9967DF"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To select technical solutions for car overpasses in accordance with TR 2.01:2019 “Design of car roads and railway bridges and tunnels”, established cross-section profiles of car roads and street carriageways.</w:t>
            </w:r>
          </w:p>
          <w:p w14:paraId="252E277B"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viaducts crossing a 1435 mm wide railway line, additionally follow the requirements of Rail Baltica Design Guidelines (Annex No. 1).</w:t>
            </w:r>
          </w:p>
          <w:p w14:paraId="1226246B"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technical solutions of the 1435 mm wide railway line must be based on, but not limited to, the requirements of the Rail Baltica Design Guidelines (Annex No. 1):</w:t>
            </w:r>
          </w:p>
          <w:p w14:paraId="2963B5CC"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RBDG-MAN-012 “General Requirements”;</w:t>
            </w:r>
          </w:p>
          <w:p w14:paraId="77DD0E5F"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RBDG-MAN-016 “Railway substructure, Part 2. Hydraulic, drainage and culverts”;</w:t>
            </w:r>
          </w:p>
          <w:p w14:paraId="20597B3D"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RBDG-MAN-017 “Railway substructure, Part 3. Bridges, overpasses, tunnels and similar structures”;</w:t>
            </w:r>
          </w:p>
          <w:p w14:paraId="5238BB82"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Other relevant requirements.</w:t>
            </w:r>
          </w:p>
          <w:p w14:paraId="73D6207D"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maintain minimum distances to engineering structures, taking into account the condition of existing structures.</w:t>
            </w:r>
          </w:p>
          <w:p w14:paraId="072C3B32"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ensure the minimum durability of engineering structural structures and their individual parts in accordance with Rail Baltica Design Guidelines “RBDG-MAN-012-0109_GeneralRequirements” chapter 11 (Annex No. 1).</w:t>
            </w:r>
          </w:p>
          <w:p w14:paraId="465D48B4"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method of installation of all structures must be proposed and coordinated by the Supplier during the preparation of the project.</w:t>
            </w:r>
          </w:p>
          <w:p w14:paraId="015C6568"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ensure comprehensive design and functionality, the structures being designed shall include, but not be limited to, the following elements:</w:t>
            </w:r>
          </w:p>
          <w:p w14:paraId="5BB4990B"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Surface water drainage systems;</w:t>
            </w:r>
          </w:p>
          <w:p w14:paraId="4BF3B862"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Drainage systems;</w:t>
            </w:r>
          </w:p>
          <w:p w14:paraId="60C53711"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Lighting (if needed);</w:t>
            </w:r>
          </w:p>
          <w:p w14:paraId="04AAB42A"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Service stairs;</w:t>
            </w:r>
          </w:p>
          <w:p w14:paraId="1724E5DA"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Grounding and bonding;</w:t>
            </w:r>
          </w:p>
          <w:p w14:paraId="2084930E"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Overhead contact line protection systems (if required);</w:t>
            </w:r>
          </w:p>
          <w:p w14:paraId="587ACB3F"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Intrusion detection system (IDS) (if needed).</w:t>
            </w:r>
          </w:p>
          <w:p w14:paraId="39DC7BFC" w14:textId="77777777" w:rsidR="0055261E" w:rsidRPr="0045163B" w:rsidRDefault="0055261E" w:rsidP="0055261E">
            <w:pPr>
              <w:shd w:val="clear" w:color="auto" w:fill="FFFFFF"/>
              <w:tabs>
                <w:tab w:val="left" w:pos="2102"/>
              </w:tabs>
              <w:jc w:val="both"/>
              <w:rPr>
                <w:rFonts w:ascii="Arial" w:eastAsia="Arial" w:hAnsi="Arial" w:cs="Arial"/>
                <w:i/>
                <w:sz w:val="22"/>
                <w:szCs w:val="22"/>
                <w:lang w:val="en-US"/>
              </w:rPr>
            </w:pPr>
            <w:r w:rsidRPr="0045163B">
              <w:rPr>
                <w:rFonts w:ascii="Arial" w:eastAsia="Arial" w:hAnsi="Arial" w:cs="Arial"/>
                <w:i/>
                <w:sz w:val="22"/>
                <w:szCs w:val="22"/>
                <w:lang w:val="en-US"/>
              </w:rPr>
              <w:t>Note: The indicated location of the designed objects (km) and the scope of procurement are indicative and will be specified during the preparation of the project.</w:t>
            </w:r>
          </w:p>
          <w:p w14:paraId="0FB78278" w14:textId="77777777" w:rsidR="0055261E" w:rsidRPr="0045163B" w:rsidRDefault="0055261E" w:rsidP="0055261E">
            <w:pPr>
              <w:shd w:val="clear" w:color="auto" w:fill="FFFFFF"/>
              <w:tabs>
                <w:tab w:val="left" w:pos="2102"/>
              </w:tabs>
              <w:jc w:val="both"/>
              <w:rPr>
                <w:rFonts w:ascii="Arial" w:eastAsia="Arial" w:hAnsi="Arial" w:cs="Arial"/>
                <w:sz w:val="22"/>
                <w:szCs w:val="22"/>
                <w:lang w:val="en-US"/>
              </w:rPr>
            </w:pPr>
          </w:p>
          <w:p w14:paraId="3E803EB5" w14:textId="265C1098" w:rsidR="0055261E" w:rsidRPr="0045163B" w:rsidRDefault="0055261E" w:rsidP="0055261E">
            <w:pPr>
              <w:widowControl/>
              <w:shd w:val="clear" w:color="auto" w:fill="FFFFFF" w:themeFill="background1"/>
              <w:jc w:val="both"/>
              <w:rPr>
                <w:rFonts w:ascii="Arial" w:eastAsia="Arial" w:hAnsi="Arial" w:cs="Arial"/>
                <w:b/>
                <w:bCs/>
                <w:sz w:val="22"/>
                <w:szCs w:val="22"/>
                <w:lang w:val="en-US"/>
              </w:rPr>
            </w:pPr>
            <w:r w:rsidRPr="0045163B">
              <w:rPr>
                <w:rFonts w:ascii="Arial" w:eastAsia="Arial" w:hAnsi="Arial" w:cs="Arial"/>
                <w:b/>
                <w:bCs/>
                <w:sz w:val="22"/>
                <w:szCs w:val="22"/>
                <w:lang w:val="en-US"/>
              </w:rPr>
              <w:t xml:space="preserve">6.14. Demolition of structures </w:t>
            </w:r>
            <w:r w:rsidRPr="0045163B">
              <w:rPr>
                <w:rFonts w:ascii="Arial" w:eastAsia="Arial" w:hAnsi="Arial" w:cs="Arial"/>
                <w:sz w:val="22"/>
                <w:szCs w:val="22"/>
                <w:lang w:val="en-US"/>
              </w:rPr>
              <w:t>(</w:t>
            </w:r>
            <w:r w:rsidRPr="0045163B">
              <w:rPr>
                <w:rFonts w:ascii="Arial" w:eastAsia="Arial" w:hAnsi="Arial" w:cs="Arial"/>
                <w:i/>
                <w:iCs/>
                <w:sz w:val="22"/>
                <w:szCs w:val="22"/>
                <w:lang w:val="en-US"/>
              </w:rPr>
              <w:t>if applicable</w:t>
            </w:r>
            <w:r w:rsidRPr="0045163B">
              <w:rPr>
                <w:rFonts w:ascii="Arial" w:eastAsia="Arial" w:hAnsi="Arial" w:cs="Arial"/>
                <w:sz w:val="22"/>
                <w:szCs w:val="22"/>
                <w:lang w:val="en-US"/>
              </w:rPr>
              <w:t>)</w:t>
            </w:r>
            <w:r w:rsidRPr="0045163B">
              <w:rPr>
                <w:rFonts w:ascii="Arial" w:eastAsia="Arial" w:hAnsi="Arial" w:cs="Arial"/>
                <w:b/>
                <w:bCs/>
                <w:sz w:val="22"/>
                <w:szCs w:val="22"/>
                <w:lang w:val="en-US"/>
              </w:rPr>
              <w:t>:</w:t>
            </w:r>
          </w:p>
          <w:p w14:paraId="1D516A00" w14:textId="5796E219" w:rsidR="0055261E" w:rsidRPr="0045163B" w:rsidRDefault="0055261E" w:rsidP="0055261E">
            <w:pPr>
              <w:widowControl/>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Structures falling within the construction work zone of newly built or reconstructed structures must be demolished. A demolition project must be prepared for these structures. After determining the need for structures to be demolished, the supplier provides the Customer with a list of structures to be demolished, distinguishing the assets managed by AB LTG Infra under the trust and ownership rights according to the data of the Real Estate Register (unique No., property name, property management right).</w:t>
            </w:r>
          </w:p>
          <w:p w14:paraId="3180DC32" w14:textId="77777777" w:rsidR="0055261E" w:rsidRPr="0045163B" w:rsidRDefault="0055261E" w:rsidP="0055261E">
            <w:pPr>
              <w:rPr>
                <w:rFonts w:ascii="Arial" w:eastAsia="Arial" w:hAnsi="Arial" w:cs="Arial"/>
                <w:sz w:val="22"/>
                <w:szCs w:val="22"/>
                <w:lang w:val="en-US"/>
              </w:rPr>
            </w:pPr>
            <w:r w:rsidRPr="0045163B">
              <w:rPr>
                <w:rFonts w:ascii="Arial" w:eastAsia="Arial" w:hAnsi="Arial" w:cs="Arial"/>
                <w:sz w:val="22"/>
                <w:szCs w:val="22"/>
                <w:lang w:val="en-US"/>
              </w:rPr>
              <w:t>The developer of the project must follow Resolution No. 1250 dated 19 October 2001 “On the approval of the description of the procedure for writing off, disassembling and liquidating state and municipal property recognized as unnecessary or unsuitable (unusable)”.</w:t>
            </w:r>
          </w:p>
          <w:p w14:paraId="1FC39945" w14:textId="77777777" w:rsidR="0055261E" w:rsidRPr="0045163B" w:rsidRDefault="0055261E" w:rsidP="0055261E">
            <w:pPr>
              <w:rPr>
                <w:rFonts w:ascii="Arial" w:eastAsia="Arial" w:hAnsi="Arial" w:cs="Arial"/>
                <w:sz w:val="22"/>
                <w:szCs w:val="22"/>
                <w:lang w:val="en-US"/>
              </w:rPr>
            </w:pPr>
          </w:p>
          <w:p w14:paraId="0562CB0E" w14:textId="2377FED5" w:rsidR="0055261E" w:rsidRPr="0045163B" w:rsidRDefault="0055261E" w:rsidP="0055261E">
            <w:pPr>
              <w:rPr>
                <w:rFonts w:ascii="Arial" w:eastAsia="Arial" w:hAnsi="Arial" w:cs="Arial"/>
                <w:sz w:val="22"/>
                <w:szCs w:val="22"/>
                <w:lang w:val="en-US"/>
              </w:rPr>
            </w:pPr>
          </w:p>
        </w:tc>
      </w:tr>
      <w:tr w:rsidR="0055261E" w:rsidRPr="0045163B" w14:paraId="2AB36079" w14:textId="77777777" w:rsidTr="00655ADD">
        <w:trPr>
          <w:trHeight w:val="78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B103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64658"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Type of structure construction</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F2CB1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7.1. Construction of a new structure</w:t>
            </w:r>
          </w:p>
          <w:p w14:paraId="52C7DFE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7.2. Reconstruction of the structure and/or</w:t>
            </w:r>
          </w:p>
          <w:p w14:paraId="1C03142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7.3. Capital repair of the structure</w:t>
            </w:r>
          </w:p>
          <w:p w14:paraId="5F3E0FE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7.4. Demolition of the structure (if applicable)</w:t>
            </w:r>
          </w:p>
          <w:p w14:paraId="34CE0A41" w14:textId="77777777" w:rsidR="0055261E" w:rsidRPr="0045163B" w:rsidRDefault="0055261E" w:rsidP="0055261E">
            <w:pPr>
              <w:jc w:val="both"/>
              <w:rPr>
                <w:rFonts w:ascii="Arial" w:eastAsia="Arial" w:hAnsi="Arial" w:cs="Arial"/>
                <w:sz w:val="22"/>
                <w:szCs w:val="22"/>
                <w:lang w:val="en-US"/>
              </w:rPr>
            </w:pPr>
          </w:p>
        </w:tc>
      </w:tr>
      <w:tr w:rsidR="0055261E" w:rsidRPr="0045163B" w14:paraId="7D7A15AF" w14:textId="77777777" w:rsidTr="00655ADD">
        <w:trPr>
          <w:trHeight w:val="1032"/>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6D3BA"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6F175"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Category of structure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BD391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8.1. Special structure</w:t>
            </w:r>
          </w:p>
          <w:p w14:paraId="3CC7125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8.2. Non-special structure and/or</w:t>
            </w:r>
          </w:p>
          <w:p w14:paraId="71C1C3C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8.3. Simple structure</w:t>
            </w:r>
          </w:p>
        </w:tc>
      </w:tr>
      <w:tr w:rsidR="0055261E" w:rsidRPr="0045163B" w14:paraId="46269AD2" w14:textId="77777777" w:rsidTr="00655ADD">
        <w:trPr>
          <w:trHeight w:val="52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406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E46F"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Existing constructions of the structure, their functional purpose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E4D0B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Kaunas infrastructure maintenance depot will be built anew. There are no existing construction, connection with existing 1520 mm gauge railway tracks and planned 1435 mm gauge railway tracks and road is envisaged to provide access to the depot.</w:t>
            </w:r>
          </w:p>
        </w:tc>
      </w:tr>
      <w:tr w:rsidR="0055261E" w:rsidRPr="0045163B" w14:paraId="5C0A6A67" w14:textId="77777777" w:rsidTr="00655ADD">
        <w:trPr>
          <w:trHeight w:val="1122"/>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8280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43924"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Other documents and data about the projects being prepared</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86DAFC" w14:textId="1C1AF55D"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10.1. “Rail Baltica infrastructure maintenance depots” technical study and project proposals (RB </w:t>
            </w:r>
            <w:r w:rsidRPr="007C17CE">
              <w:rPr>
                <w:rFonts w:ascii="Arial" w:eastAsia="Arial" w:hAnsi="Arial" w:cs="Arial"/>
                <w:sz w:val="22"/>
                <w:szCs w:val="22"/>
                <w:lang w:val="en-US"/>
              </w:rPr>
              <w:t xml:space="preserve">IMF) </w:t>
            </w:r>
            <w:r w:rsidR="00546A41" w:rsidRPr="007C17CE">
              <w:rPr>
                <w:rFonts w:ascii="Arial" w:eastAsia="Arial" w:hAnsi="Arial" w:cs="Arial"/>
                <w:sz w:val="22"/>
                <w:szCs w:val="22"/>
                <w:lang w:val="en-US"/>
              </w:rPr>
              <w:t xml:space="preserve">is submitted for information </w:t>
            </w:r>
            <w:r w:rsidRPr="007C17CE">
              <w:rPr>
                <w:rFonts w:ascii="Arial" w:eastAsia="Arial" w:hAnsi="Arial" w:cs="Arial"/>
                <w:sz w:val="22"/>
                <w:szCs w:val="22"/>
                <w:lang w:val="en-US"/>
              </w:rPr>
              <w:t xml:space="preserve">(Annex No. 27), </w:t>
            </w:r>
          </w:p>
          <w:p w14:paraId="1215C5D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10.2. When preparing the project, the supplier must take into account related projects that are currently being prepared:</w:t>
            </w:r>
          </w:p>
          <w:p w14:paraId="0257C28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Projects for the construction of a new section from Kaunas to </w:t>
            </w:r>
            <w:proofErr w:type="spellStart"/>
            <w:r w:rsidRPr="0045163B">
              <w:rPr>
                <w:rFonts w:ascii="Arial" w:eastAsia="Arial" w:hAnsi="Arial" w:cs="Arial"/>
                <w:sz w:val="22"/>
                <w:szCs w:val="22"/>
                <w:lang w:val="en-US"/>
              </w:rPr>
              <w:t>Ramygala</w:t>
            </w:r>
            <w:proofErr w:type="spellEnd"/>
            <w:r w:rsidRPr="0045163B">
              <w:rPr>
                <w:rFonts w:ascii="Arial" w:eastAsia="Arial" w:hAnsi="Arial" w:cs="Arial"/>
                <w:sz w:val="22"/>
                <w:szCs w:val="22"/>
                <w:lang w:val="en-US"/>
              </w:rPr>
              <w:t xml:space="preserve"> and from </w:t>
            </w:r>
            <w:proofErr w:type="spellStart"/>
            <w:r w:rsidRPr="0045163B">
              <w:rPr>
                <w:rFonts w:ascii="Arial" w:eastAsia="Arial" w:hAnsi="Arial" w:cs="Arial"/>
                <w:sz w:val="22"/>
                <w:szCs w:val="22"/>
                <w:lang w:val="en-US"/>
              </w:rPr>
              <w:t>Ramygala</w:t>
            </w:r>
            <w:proofErr w:type="spellEnd"/>
            <w:r w:rsidRPr="0045163B">
              <w:rPr>
                <w:rFonts w:ascii="Arial" w:eastAsia="Arial" w:hAnsi="Arial" w:cs="Arial"/>
                <w:sz w:val="22"/>
                <w:szCs w:val="22"/>
                <w:lang w:val="en-US"/>
              </w:rPr>
              <w:t xml:space="preserve"> to the Lithuanian-Latvian state border (Documents prepared, project solutions are revised according to the comments submitted).</w:t>
            </w:r>
          </w:p>
          <w:p w14:paraId="72BFC38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development plan of the engineering infrastructure of the Kaunas-Vilnius railway line of the Rail Baltica project.</w:t>
            </w:r>
          </w:p>
          <w:p w14:paraId="658FF12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Implementation of Rail Baltica railway energy subsystem.</w:t>
            </w:r>
          </w:p>
          <w:p w14:paraId="4750E44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Implementation of Rail Baltica railway track and control, traffic management and signaling subsystem.</w:t>
            </w:r>
          </w:p>
          <w:p w14:paraId="26DC210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Acquisition of land for public needs in accordance with the Rail Baltica railway infrastructure maintenance depot development plan for the development of communications engineering infrastructure in the territory of the Kaunas district municipality project”.</w:t>
            </w:r>
          </w:p>
          <w:p w14:paraId="166C3D8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Project of acquisition of land for public needs “Land acquisition for public needs in accordance with the Rail Baltica railway infrastructure maintenance depot development plan for the development of communication engineering infrastructure in the territory of </w:t>
            </w:r>
            <w:proofErr w:type="spellStart"/>
            <w:r w:rsidRPr="0045163B">
              <w:rPr>
                <w:rFonts w:ascii="Arial" w:eastAsia="Arial" w:hAnsi="Arial" w:cs="Arial"/>
                <w:sz w:val="22"/>
                <w:szCs w:val="22"/>
                <w:lang w:val="en-US"/>
              </w:rPr>
              <w:t>Jonava</w:t>
            </w:r>
            <w:proofErr w:type="spellEnd"/>
            <w:r w:rsidRPr="0045163B">
              <w:rPr>
                <w:rFonts w:ascii="Arial" w:eastAsia="Arial" w:hAnsi="Arial" w:cs="Arial"/>
                <w:sz w:val="22"/>
                <w:szCs w:val="22"/>
                <w:lang w:val="en-US"/>
              </w:rPr>
              <w:t xml:space="preserve"> district municipality”.</w:t>
            </w:r>
          </w:p>
          <w:p w14:paraId="459019B9"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The supplier must also take into account the environmental impact assessment report of the European standard railway line Kaunas - border of Lithuania and Latvia.</w:t>
            </w:r>
          </w:p>
          <w:p w14:paraId="77C983AE" w14:textId="370B993A" w:rsidR="00A70F01" w:rsidRPr="0045163B" w:rsidRDefault="0055261E" w:rsidP="00A70F01">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lastRenderedPageBreak/>
              <w:t>The supplier must identify and evaluate other related projects taking into account the scope of the design and the type of structures to be designed.</w:t>
            </w:r>
          </w:p>
          <w:p w14:paraId="570DD945" w14:textId="5AF045EE" w:rsidR="00A70F01" w:rsidRPr="007C17CE" w:rsidRDefault="00A70F01" w:rsidP="00A70F01">
            <w:pPr>
              <w:widowControl/>
              <w:pBdr>
                <w:top w:val="nil"/>
                <w:left w:val="nil"/>
                <w:bottom w:val="nil"/>
                <w:right w:val="nil"/>
                <w:between w:val="nil"/>
              </w:pBdr>
              <w:jc w:val="both"/>
              <w:rPr>
                <w:rFonts w:ascii="Arial" w:eastAsia="Arial" w:hAnsi="Arial" w:cs="Arial"/>
                <w:sz w:val="22"/>
                <w:szCs w:val="22"/>
                <w:lang w:val="en-US"/>
              </w:rPr>
            </w:pPr>
            <w:r w:rsidRPr="007C17CE">
              <w:rPr>
                <w:rFonts w:ascii="Arial" w:eastAsia="Arial" w:hAnsi="Arial" w:cs="Arial"/>
                <w:sz w:val="22"/>
                <w:szCs w:val="22"/>
                <w:lang w:val="en-US"/>
              </w:rPr>
              <w:t xml:space="preserve">The Supplier shall take into account the European Standard Report describing the plan for the clean-up and </w:t>
            </w:r>
            <w:r w:rsidR="000E6E87" w:rsidRPr="007C17CE">
              <w:rPr>
                <w:rFonts w:ascii="Arial" w:eastAsia="Arial" w:hAnsi="Arial" w:cs="Arial"/>
                <w:sz w:val="22"/>
                <w:szCs w:val="22"/>
                <w:lang w:val="en-US"/>
              </w:rPr>
              <w:t>neutralization</w:t>
            </w:r>
            <w:r w:rsidRPr="007C17CE">
              <w:rPr>
                <w:rFonts w:ascii="Arial" w:eastAsia="Arial" w:hAnsi="Arial" w:cs="Arial"/>
                <w:sz w:val="22"/>
                <w:szCs w:val="22"/>
                <w:lang w:val="en-US"/>
              </w:rPr>
              <w:t xml:space="preserve"> of explosives contaminated areas of the railway line Kaunas - Lithuanian-Latvian border (Annex 3).  </w:t>
            </w:r>
          </w:p>
          <w:p w14:paraId="6CED3743" w14:textId="77777777" w:rsidR="0055261E" w:rsidRPr="0045163B" w:rsidRDefault="0055261E" w:rsidP="0055261E">
            <w:pPr>
              <w:jc w:val="both"/>
              <w:rPr>
                <w:rFonts w:ascii="Arial" w:eastAsia="Arial" w:hAnsi="Arial" w:cs="Arial"/>
                <w:i/>
                <w:sz w:val="22"/>
                <w:szCs w:val="22"/>
                <w:lang w:val="en-US"/>
              </w:rPr>
            </w:pPr>
            <w:r w:rsidRPr="007C17CE">
              <w:rPr>
                <w:rFonts w:ascii="Arial" w:eastAsia="Arial" w:hAnsi="Arial" w:cs="Arial"/>
                <w:sz w:val="22"/>
                <w:szCs w:val="22"/>
                <w:lang w:val="en-US"/>
              </w:rPr>
              <w:t>The project solutions must be coordinated with the solutions of other prepared and already prepared and appr</w:t>
            </w:r>
            <w:r w:rsidRPr="0045163B">
              <w:rPr>
                <w:rFonts w:ascii="Arial" w:eastAsia="Arial" w:hAnsi="Arial" w:cs="Arial"/>
                <w:sz w:val="22"/>
                <w:szCs w:val="22"/>
                <w:lang w:val="en-US"/>
              </w:rPr>
              <w:t>oved projects, without reconstructing them, moving them or otherwise changing the main indicators of the building, without changing the functionality or otherwise worsening the situation.</w:t>
            </w:r>
          </w:p>
        </w:tc>
      </w:tr>
      <w:tr w:rsidR="0055261E" w:rsidRPr="0045163B" w14:paraId="6C9BC13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BF3C5" w14:textId="77777777" w:rsidR="0055261E" w:rsidRPr="0045163B" w:rsidRDefault="0055261E" w:rsidP="0055261E">
            <w:pPr>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E4F28" w14:textId="77777777" w:rsidR="0055261E" w:rsidRPr="0045163B" w:rsidRDefault="0055261E" w:rsidP="0055261E">
            <w:pPr>
              <w:spacing w:line="276" w:lineRule="auto"/>
              <w:ind w:left="360"/>
              <w:jc w:val="center"/>
              <w:rPr>
                <w:rFonts w:ascii="Arial" w:eastAsia="Arial" w:hAnsi="Arial" w:cs="Arial"/>
                <w:b/>
                <w:sz w:val="22"/>
                <w:szCs w:val="22"/>
                <w:lang w:val="en-US"/>
              </w:rPr>
            </w:pPr>
            <w:r w:rsidRPr="0045163B">
              <w:rPr>
                <w:rFonts w:ascii="Arial" w:eastAsia="Arial" w:hAnsi="Arial" w:cs="Arial"/>
                <w:b/>
                <w:sz w:val="22"/>
                <w:szCs w:val="22"/>
                <w:lang w:val="en-US"/>
              </w:rPr>
              <w:t>II. Scope of services being procured</w:t>
            </w:r>
          </w:p>
        </w:tc>
      </w:tr>
      <w:tr w:rsidR="0055261E" w:rsidRPr="0045163B" w14:paraId="7CD68A33" w14:textId="77777777" w:rsidTr="00655ADD">
        <w:trPr>
          <w:trHeight w:val="161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135B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28D72"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11.1. Scope of services being procured:</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655F6" w14:textId="77777777" w:rsidR="0055261E" w:rsidRPr="0045163B" w:rsidRDefault="0055261E" w:rsidP="0055261E">
            <w:pPr>
              <w:spacing w:line="276" w:lineRule="auto"/>
              <w:jc w:val="both"/>
              <w:rPr>
                <w:rFonts w:ascii="Arial" w:eastAsia="Arial" w:hAnsi="Arial" w:cs="Arial"/>
                <w:sz w:val="22"/>
                <w:szCs w:val="22"/>
                <w:lang w:val="en-US"/>
              </w:rPr>
            </w:pPr>
            <w:bookmarkStart w:id="1" w:name="bookmark=id.3znysh7" w:colFirst="0" w:colLast="0"/>
            <w:bookmarkEnd w:id="1"/>
            <w:r w:rsidRPr="0045163B">
              <w:rPr>
                <w:rFonts w:ascii="Arial" w:eastAsia="Arial" w:hAnsi="Arial" w:cs="Arial"/>
                <w:sz w:val="22"/>
                <w:szCs w:val="22"/>
                <w:lang w:val="en-US"/>
              </w:rPr>
              <w:t>11.1.1. Kaunas railway infrastructure maintenance depot connection limits:</w:t>
            </w:r>
          </w:p>
          <w:p w14:paraId="18D5A0D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On the northern side, the railway tracks are connected to the main road designed in the scope of the development plan of the engineering infrastructure of the Kaunas-Vilnius railway line of the Rail Baltica project, and on the southern side - to the road tracks with a gauge width of 1435 mm. The depot tracks with a gauge width of 1520 mm are connected to the corresponding road of the </w:t>
            </w:r>
            <w:proofErr w:type="spellStart"/>
            <w:r w:rsidRPr="0045163B">
              <w:rPr>
                <w:rFonts w:ascii="Arial" w:eastAsia="Arial" w:hAnsi="Arial" w:cs="Arial"/>
                <w:sz w:val="22"/>
                <w:szCs w:val="22"/>
                <w:lang w:val="en-US"/>
              </w:rPr>
              <w:t>Palemonas</w:t>
            </w:r>
            <w:proofErr w:type="spellEnd"/>
            <w:r w:rsidRPr="0045163B">
              <w:rPr>
                <w:rFonts w:ascii="Arial" w:eastAsia="Arial" w:hAnsi="Arial" w:cs="Arial"/>
                <w:sz w:val="22"/>
                <w:szCs w:val="22"/>
                <w:lang w:val="en-US"/>
              </w:rPr>
              <w:t xml:space="preserve"> - </w:t>
            </w:r>
            <w:proofErr w:type="spellStart"/>
            <w:r w:rsidRPr="0045163B">
              <w:rPr>
                <w:rFonts w:ascii="Arial" w:eastAsia="Arial" w:hAnsi="Arial" w:cs="Arial"/>
                <w:sz w:val="22"/>
                <w:szCs w:val="22"/>
                <w:lang w:val="en-US"/>
              </w:rPr>
              <w:t>Gaižiūnai</w:t>
            </w:r>
            <w:proofErr w:type="spellEnd"/>
            <w:r w:rsidRPr="0045163B">
              <w:rPr>
                <w:rFonts w:ascii="Arial" w:eastAsia="Arial" w:hAnsi="Arial" w:cs="Arial"/>
                <w:sz w:val="22"/>
                <w:szCs w:val="22"/>
                <w:lang w:val="en-US"/>
              </w:rPr>
              <w:t xml:space="preserve"> section, the reconstruction of which is also provided for in the scope of the Kaunas-Vilnius infrastructure development plan.</w:t>
            </w:r>
          </w:p>
          <w:p w14:paraId="08DE6102" w14:textId="68C4438A"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According to Rail Baltica’s Design Guidelines, intersections with motor tracks must be designed at two levels. A 20 m wide communication corridor is being formed for approaches to the territory of the railway infrastructure maintenance depot, where two 3.00 m wide traffic lanes must be designed. The technical parameters of the traffic connection, traffic control measures, entrances, sidewalks and lighting installation solutions will be determined/corrected during the preparation of the technical project, taking into account the provisions of technical regulations, legal acts and the issued design conditions.</w:t>
            </w:r>
          </w:p>
          <w:p w14:paraId="49CF1F14" w14:textId="5143B951"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Access to the territory of the Kaunas railway infrastructure maintenance depot must be planned from the main road A1. The access from the main road A1 is planned along the existing </w:t>
            </w:r>
            <w:proofErr w:type="spellStart"/>
            <w:r w:rsidRPr="0045163B">
              <w:rPr>
                <w:rFonts w:ascii="Arial" w:eastAsia="Arial" w:hAnsi="Arial" w:cs="Arial"/>
                <w:sz w:val="22"/>
                <w:szCs w:val="22"/>
                <w:lang w:val="en-US"/>
              </w:rPr>
              <w:t>Keramikų</w:t>
            </w:r>
            <w:proofErr w:type="spellEnd"/>
            <w:r w:rsidRPr="0045163B">
              <w:rPr>
                <w:rFonts w:ascii="Arial" w:eastAsia="Arial" w:hAnsi="Arial" w:cs="Arial"/>
                <w:sz w:val="22"/>
                <w:szCs w:val="22"/>
                <w:lang w:val="en-US"/>
              </w:rPr>
              <w:t xml:space="preserve"> street (</w:t>
            </w:r>
            <w:proofErr w:type="spellStart"/>
            <w:r w:rsidRPr="0045163B">
              <w:rPr>
                <w:rFonts w:ascii="Arial" w:eastAsia="Arial" w:hAnsi="Arial" w:cs="Arial"/>
                <w:sz w:val="22"/>
                <w:szCs w:val="22"/>
                <w:lang w:val="en-US"/>
              </w:rPr>
              <w:t>Neveronys</w:t>
            </w:r>
            <w:proofErr w:type="spellEnd"/>
            <w:r w:rsidRPr="0045163B">
              <w:rPr>
                <w:rFonts w:ascii="Arial" w:eastAsia="Arial" w:hAnsi="Arial" w:cs="Arial"/>
                <w:sz w:val="22"/>
                <w:szCs w:val="22"/>
                <w:lang w:val="en-US"/>
              </w:rPr>
              <w:t xml:space="preserve"> village) and continues next to the existing railway road (on the north-western side of </w:t>
            </w:r>
            <w:proofErr w:type="spellStart"/>
            <w:r w:rsidRPr="0045163B">
              <w:rPr>
                <w:rFonts w:ascii="Arial" w:eastAsia="Arial" w:hAnsi="Arial" w:cs="Arial"/>
                <w:sz w:val="22"/>
                <w:szCs w:val="22"/>
                <w:lang w:val="en-US"/>
              </w:rPr>
              <w:t>Pabiržys</w:t>
            </w:r>
            <w:proofErr w:type="spellEnd"/>
            <w:r w:rsidRPr="0045163B">
              <w:rPr>
                <w:rFonts w:ascii="Arial" w:eastAsia="Arial" w:hAnsi="Arial" w:cs="Arial"/>
                <w:sz w:val="22"/>
                <w:szCs w:val="22"/>
                <w:lang w:val="en-US"/>
              </w:rPr>
              <w:t xml:space="preserve"> village). For access to the Kaunas railway infrastructure maintenance depot, it is planned to </w:t>
            </w:r>
            <w:r w:rsidRPr="007C17CE">
              <w:rPr>
                <w:rFonts w:ascii="Arial" w:eastAsia="Arial" w:hAnsi="Arial" w:cs="Arial"/>
                <w:sz w:val="22"/>
                <w:szCs w:val="22"/>
                <w:lang w:val="en-US"/>
              </w:rPr>
              <w:t xml:space="preserve">install </w:t>
            </w:r>
            <w:r w:rsidR="001F5050" w:rsidRPr="007C17CE">
              <w:rPr>
                <w:rFonts w:ascii="Arial" w:eastAsia="Arial" w:hAnsi="Arial" w:cs="Arial"/>
                <w:sz w:val="22"/>
                <w:szCs w:val="22"/>
                <w:lang w:val="en-US"/>
              </w:rPr>
              <w:t>viaduct</w:t>
            </w:r>
            <w:r w:rsidRPr="007C17CE">
              <w:rPr>
                <w:rFonts w:ascii="Arial" w:eastAsia="Arial" w:hAnsi="Arial" w:cs="Arial"/>
                <w:sz w:val="22"/>
                <w:szCs w:val="22"/>
                <w:lang w:val="en-US"/>
              </w:rPr>
              <w:t xml:space="preserve"> through </w:t>
            </w:r>
            <w:r w:rsidRPr="0045163B">
              <w:rPr>
                <w:rFonts w:ascii="Arial" w:eastAsia="Arial" w:hAnsi="Arial" w:cs="Arial"/>
                <w:sz w:val="22"/>
                <w:szCs w:val="22"/>
                <w:lang w:val="en-US"/>
              </w:rPr>
              <w:t xml:space="preserve">the </w:t>
            </w:r>
            <w:proofErr w:type="spellStart"/>
            <w:r w:rsidRPr="0045163B">
              <w:rPr>
                <w:rFonts w:ascii="Arial" w:eastAsia="Arial" w:hAnsi="Arial" w:cs="Arial"/>
                <w:sz w:val="22"/>
                <w:szCs w:val="22"/>
                <w:lang w:val="en-US"/>
              </w:rPr>
              <w:t>Palemonas-Gaižiūnai</w:t>
            </w:r>
            <w:proofErr w:type="spellEnd"/>
            <w:r w:rsidRPr="0045163B">
              <w:rPr>
                <w:rFonts w:ascii="Arial" w:eastAsia="Arial" w:hAnsi="Arial" w:cs="Arial"/>
                <w:sz w:val="22"/>
                <w:szCs w:val="22"/>
                <w:lang w:val="en-US"/>
              </w:rPr>
              <w:t xml:space="preserve"> railway section.</w:t>
            </w:r>
          </w:p>
          <w:p w14:paraId="45141FA9" w14:textId="3EF7FD04"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11.1.2. Components of the Master detailed technical design:</w:t>
            </w:r>
          </w:p>
          <w:p w14:paraId="7A9542F7"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sz w:val="22"/>
                <w:szCs w:val="22"/>
                <w:lang w:val="en-US"/>
              </w:rPr>
              <w:t></w:t>
            </w:r>
            <w:r w:rsidRPr="0045163B">
              <w:rPr>
                <w:rFonts w:ascii="Arial" w:eastAsia="Arial" w:hAnsi="Arial" w:cs="Arial"/>
                <w:sz w:val="22"/>
                <w:szCs w:val="22"/>
                <w:lang w:val="en-US"/>
              </w:rPr>
              <w:tab/>
            </w:r>
            <w:r w:rsidRPr="0045163B">
              <w:rPr>
                <w:rFonts w:ascii="Arial" w:eastAsia="Arial" w:hAnsi="Arial" w:cs="Arial"/>
                <w:i/>
                <w:sz w:val="22"/>
                <w:szCs w:val="22"/>
                <w:lang w:val="en-US"/>
              </w:rPr>
              <w:t>General;</w:t>
            </w:r>
          </w:p>
          <w:p w14:paraId="385ACF8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Plot arrangement (plot plan);</w:t>
            </w:r>
          </w:p>
          <w:p w14:paraId="6D1D2916"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Architecture;</w:t>
            </w:r>
          </w:p>
          <w:p w14:paraId="7F3138A1"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Structures;</w:t>
            </w:r>
          </w:p>
          <w:p w14:paraId="01BBA629"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Production (service) technologies;</w:t>
            </w:r>
          </w:p>
          <w:p w14:paraId="5D20BB3C"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Communication;</w:t>
            </w:r>
          </w:p>
          <w:p w14:paraId="664A8DCE"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lastRenderedPageBreak/>
              <w:t></w:t>
            </w:r>
            <w:r w:rsidRPr="0045163B">
              <w:rPr>
                <w:rFonts w:ascii="Arial" w:eastAsia="Arial" w:hAnsi="Arial" w:cs="Arial"/>
                <w:i/>
                <w:sz w:val="22"/>
                <w:szCs w:val="22"/>
                <w:lang w:val="en-US"/>
              </w:rPr>
              <w:tab/>
              <w:t>Plumbing and sewage disposal;</w:t>
            </w:r>
          </w:p>
          <w:p w14:paraId="669AAD56"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Heating, ventilation and air conditioning;</w:t>
            </w:r>
          </w:p>
          <w:p w14:paraId="3ADDC1CB"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Electrical engineering;</w:t>
            </w:r>
          </w:p>
          <w:p w14:paraId="1C75C155"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Electronic communications (telecommunications);</w:t>
            </w:r>
          </w:p>
          <w:p w14:paraId="24E70733"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Security alarms;</w:t>
            </w:r>
          </w:p>
          <w:p w14:paraId="086FB019"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Fire detection and signaling;</w:t>
            </w:r>
          </w:p>
          <w:p w14:paraId="5F84A9AD"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Process management and automation;</w:t>
            </w:r>
          </w:p>
          <w:p w14:paraId="6C3187A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 xml:space="preserve">Fire safety. </w:t>
            </w:r>
          </w:p>
          <w:p w14:paraId="348278B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Preparation for construction and organization of construction works;</w:t>
            </w:r>
          </w:p>
          <w:p w14:paraId="11B5350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Determination of the calculated construction price;</w:t>
            </w:r>
          </w:p>
          <w:p w14:paraId="6D98A12B" w14:textId="77777777" w:rsidR="0055261E" w:rsidRPr="0045163B" w:rsidRDefault="0055261E" w:rsidP="0055261E">
            <w:pPr>
              <w:spacing w:line="276" w:lineRule="auto"/>
              <w:jc w:val="both"/>
              <w:rPr>
                <w:rFonts w:ascii="Arial" w:eastAsia="Arial" w:hAnsi="Arial" w:cs="Arial"/>
                <w:i/>
                <w:sz w:val="22"/>
                <w:szCs w:val="22"/>
                <w:lang w:val="en-US"/>
              </w:rPr>
            </w:pPr>
          </w:p>
          <w:p w14:paraId="12B99F22" w14:textId="74FBC52D"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Note: The composition of the components of the Master detailed technical design can be adjusted after assessing the specifics of the specific building/structure being designed and the special requirements set by laws and normative documents for the safety and purpose of the structure. The composition of the technical project may include other parts of the project specified in the Technical Construction Regulations, which are necessary to achieve the goals set out in the design task and to perform construction works.</w:t>
            </w:r>
          </w:p>
          <w:p w14:paraId="599B637C" w14:textId="77777777" w:rsidR="0055261E" w:rsidRPr="0045163B" w:rsidRDefault="0055261E" w:rsidP="0055261E">
            <w:pPr>
              <w:jc w:val="both"/>
              <w:rPr>
                <w:rFonts w:ascii="Arial" w:eastAsia="Arial" w:hAnsi="Arial" w:cs="Arial"/>
                <w:i/>
                <w:sz w:val="22"/>
                <w:szCs w:val="22"/>
                <w:lang w:val="en-US"/>
              </w:rPr>
            </w:pPr>
            <w:r w:rsidRPr="0045163B">
              <w:rPr>
                <w:rFonts w:ascii="Arial" w:eastAsia="Arial" w:hAnsi="Arial" w:cs="Arial"/>
                <w:i/>
                <w:sz w:val="22"/>
                <w:szCs w:val="22"/>
                <w:lang w:val="en-US"/>
              </w:rPr>
              <w:t>The sequence of project parts must be presented in such a way that individual parts of the project can be coordinated in a synchronized manner and in the shortest possible time.</w:t>
            </w:r>
          </w:p>
          <w:p w14:paraId="2946DB82" w14:textId="77777777" w:rsidR="0055261E" w:rsidRPr="0045163B" w:rsidRDefault="0055261E" w:rsidP="0055261E">
            <w:pPr>
              <w:rPr>
                <w:rFonts w:ascii="Arial" w:eastAsia="Arial" w:hAnsi="Arial" w:cs="Arial"/>
                <w:sz w:val="22"/>
                <w:szCs w:val="22"/>
                <w:lang w:val="en-US"/>
              </w:rPr>
            </w:pPr>
          </w:p>
        </w:tc>
      </w:tr>
      <w:tr w:rsidR="0055261E" w:rsidRPr="0045163B" w14:paraId="1EC15FD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7CC1D" w14:textId="77777777" w:rsidR="0055261E" w:rsidRPr="0045163B" w:rsidRDefault="0055261E" w:rsidP="0055261E">
            <w:pPr>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6CA92"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11.2. Design services </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B1EE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11.2.1. Usual services are purchased, which the designer must perform in accordance with the requirements of the Law on Construction, STR 1.04.04:2017 “Building design, project expertise” and other normative legal acts (ordering of connection conditions, preparation of project proposals, preparation of the project, execution of project adjustments, construction permit document receiving etc.).</w:t>
            </w:r>
          </w:p>
          <w:p w14:paraId="110FFD37" w14:textId="77777777" w:rsidR="0055261E" w:rsidRPr="0045163B" w:rsidRDefault="0055261E" w:rsidP="0055261E">
            <w:pPr>
              <w:spacing w:line="276" w:lineRule="auto"/>
              <w:jc w:val="both"/>
              <w:rPr>
                <w:rFonts w:ascii="Arial" w:eastAsia="Arial" w:hAnsi="Arial" w:cs="Arial"/>
                <w:sz w:val="22"/>
                <w:szCs w:val="22"/>
                <w:lang w:val="en-US"/>
              </w:rPr>
            </w:pPr>
          </w:p>
          <w:p w14:paraId="1AE84786" w14:textId="7940DC9B"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11.2.2. Also, the scope of the design service includes corrections to the Project according to the builder’s (customer’s) comments,</w:t>
            </w:r>
            <w:r w:rsidRPr="0045163B">
              <w:rPr>
                <w:rFonts w:ascii="Arial" w:eastAsia="Arial" w:hAnsi="Arial" w:cs="Arial"/>
                <w:color w:val="000000" w:themeColor="text1"/>
                <w:sz w:val="22"/>
                <w:szCs w:val="22"/>
                <w:lang w:val="en-US"/>
              </w:rPr>
              <w:t xml:space="preserve"> comments of independent expert evaluation (extended design expertise),</w:t>
            </w:r>
            <w:r w:rsidRPr="0045163B">
              <w:rPr>
                <w:rFonts w:ascii="Arial" w:eastAsia="Arial" w:hAnsi="Arial" w:cs="Arial"/>
                <w:sz w:val="22"/>
                <w:szCs w:val="22"/>
                <w:lang w:val="en-US"/>
              </w:rPr>
              <w:t xml:space="preserve"> mandatory comments according to the Project Appraisal Act, Assessment Body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Notified Body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Designated Body (</w:t>
            </w:r>
            <w:proofErr w:type="spellStart"/>
            <w:r w:rsidRPr="0045163B">
              <w:rPr>
                <w:rFonts w:ascii="Arial" w:eastAsia="Arial" w:hAnsi="Arial" w:cs="Arial"/>
                <w:sz w:val="22"/>
                <w:szCs w:val="22"/>
                <w:lang w:val="en-US"/>
              </w:rPr>
              <w:t>DeBo</w:t>
            </w:r>
            <w:proofErr w:type="spellEnd"/>
            <w:r w:rsidRPr="0045163B">
              <w:rPr>
                <w:rFonts w:ascii="Arial" w:eastAsia="Arial" w:hAnsi="Arial" w:cs="Arial"/>
                <w:sz w:val="22"/>
                <w:szCs w:val="22"/>
                <w:lang w:val="en-US"/>
              </w:rPr>
              <w:t xml:space="preserve">) review and assessment comments, comments of the institutions and entities (their departments) that checked this Project, as well as Project errors noticed during the construction, as well as taking into account the questions received during the procurement of the contract, </w:t>
            </w:r>
            <w:r w:rsidRPr="0045163B">
              <w:rPr>
                <w:rFonts w:ascii="Arial" w:eastAsia="Arial" w:hAnsi="Arial" w:cs="Arial"/>
                <w:sz w:val="22"/>
                <w:szCs w:val="22"/>
                <w:lang w:val="en-US"/>
              </w:rPr>
              <w:lastRenderedPageBreak/>
              <w:t>for which corrections should be made. These corrections do not include changes and/or additions that may be made at the Customer’s initiative or due to objective unforeseen circumstances. Project solutions in separate project documents (technical specifications, explanatory notes, drawings, cost quantity lists) and between individual parts of the Project must not contradict each other, especially paying attention to the compliance of the cost quantity list quantity data with the Project solutions.</w:t>
            </w:r>
          </w:p>
          <w:p w14:paraId="6B699379" w14:textId="77777777" w:rsidR="0055261E" w:rsidRPr="0045163B" w:rsidRDefault="0055261E" w:rsidP="0055261E">
            <w:pPr>
              <w:spacing w:line="276" w:lineRule="auto"/>
              <w:jc w:val="both"/>
              <w:rPr>
                <w:rFonts w:ascii="Arial" w:eastAsia="Arial" w:hAnsi="Arial" w:cs="Arial"/>
                <w:sz w:val="22"/>
                <w:szCs w:val="22"/>
                <w:lang w:val="en-US"/>
              </w:rPr>
            </w:pPr>
          </w:p>
          <w:p w14:paraId="2DB8BA8D" w14:textId="3D91508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11.2.3. Together with the technical documentation prepared by the Supplier, work quantity sheets for the contract work tender (in .xlsx format) must be submitted in Lithuanian and English, where each work position is clearly distinguished with a unique number according to the attached sample (Annex No. 4).</w:t>
            </w:r>
          </w:p>
          <w:p w14:paraId="7721241C" w14:textId="6B7BDE6A"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Also, the scope of the Master detailed technical design must include the technical specification of the contract work, prepared on the basis of the requirements of the valid legal acts and the requirements for objects related to the main railway tracks (Annex No. 24). The Supplier must follow the specified example and, in case of deviations, coordinate them with the Customer </w:t>
            </w:r>
            <w:r w:rsidR="00E36456" w:rsidRPr="007C17CE">
              <w:rPr>
                <w:rFonts w:ascii="Arial" w:eastAsia="Arial" w:hAnsi="Arial" w:cs="Arial"/>
                <w:sz w:val="22"/>
                <w:szCs w:val="22"/>
                <w:lang w:val="en-US"/>
              </w:rPr>
              <w:t>The customer is responsible for coordinating with RB Rail AS.</w:t>
            </w:r>
          </w:p>
          <w:p w14:paraId="6E1E435C" w14:textId="77777777" w:rsidR="0055261E" w:rsidRPr="0045163B" w:rsidRDefault="0055261E" w:rsidP="0055261E">
            <w:pPr>
              <w:jc w:val="both"/>
              <w:rPr>
                <w:rFonts w:ascii="Arial" w:eastAsia="Arial" w:hAnsi="Arial" w:cs="Arial"/>
                <w:sz w:val="22"/>
                <w:szCs w:val="22"/>
                <w:lang w:val="en-US"/>
              </w:rPr>
            </w:pPr>
            <w:r w:rsidRPr="007C17CE">
              <w:rPr>
                <w:rFonts w:ascii="Arial" w:eastAsia="Arial" w:hAnsi="Arial" w:cs="Arial"/>
                <w:sz w:val="22"/>
                <w:szCs w:val="22"/>
                <w:lang w:val="en-US"/>
              </w:rPr>
              <w:t xml:space="preserve">The services proposed by the supplier must comply with the national </w:t>
            </w:r>
            <w:r w:rsidRPr="0045163B">
              <w:rPr>
                <w:rFonts w:ascii="Arial" w:eastAsia="Arial" w:hAnsi="Arial" w:cs="Arial"/>
                <w:sz w:val="22"/>
                <w:szCs w:val="22"/>
                <w:lang w:val="en-US"/>
              </w:rPr>
              <w:t>or international standards (or their equivalent) specified in this specification and in the documents (requirements) attached to this technical specification. If the services proposed by the supplier do not meet the specified but equivalent standards, the public procurement participant must provide evidence of the equivalence of the applicable standards in his proposal.</w:t>
            </w:r>
          </w:p>
          <w:p w14:paraId="3FE9F23F" w14:textId="77777777" w:rsidR="0055261E" w:rsidRPr="0045163B" w:rsidRDefault="0055261E" w:rsidP="0055261E">
            <w:pPr>
              <w:spacing w:line="276" w:lineRule="auto"/>
              <w:jc w:val="both"/>
              <w:rPr>
                <w:rFonts w:ascii="Arial" w:eastAsia="Arial" w:hAnsi="Arial" w:cs="Arial"/>
                <w:sz w:val="22"/>
                <w:szCs w:val="22"/>
                <w:lang w:val="en-US"/>
              </w:rPr>
            </w:pPr>
          </w:p>
          <w:p w14:paraId="186CAFDC"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11.2.4. The Supplier will have to fill in 1 copy of the work quantity sheet prepared for the tender based on the part of the calculated price determination project prepared by the Supplier.</w:t>
            </w:r>
          </w:p>
          <w:p w14:paraId="1F72F646" w14:textId="77777777" w:rsidR="0055261E" w:rsidRPr="0045163B" w:rsidRDefault="0055261E" w:rsidP="0055261E">
            <w:pPr>
              <w:spacing w:line="276" w:lineRule="auto"/>
              <w:jc w:val="both"/>
              <w:rPr>
                <w:rFonts w:ascii="Arial" w:eastAsia="Arial" w:hAnsi="Arial" w:cs="Arial"/>
                <w:sz w:val="22"/>
                <w:szCs w:val="22"/>
                <w:lang w:val="en-US"/>
              </w:rPr>
            </w:pPr>
          </w:p>
          <w:p w14:paraId="70833F51" w14:textId="24FE029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 When preparing the project, the Supplier (as well as its sub-suppliers) must comply with the BIM (Building Information Modeling) requirements set out in this technical specification and in the documents (latest versions) specified in this sub-section below (hereinafter referred to as </w:t>
            </w:r>
            <w:r w:rsidRPr="0045163B">
              <w:rPr>
                <w:rFonts w:ascii="Arial" w:eastAsia="Arial" w:hAnsi="Arial" w:cs="Arial"/>
                <w:b/>
                <w:bCs/>
                <w:sz w:val="22"/>
                <w:szCs w:val="22"/>
                <w:lang w:val="en-US"/>
              </w:rPr>
              <w:t>BIM Guidelines</w:t>
            </w:r>
            <w:r w:rsidRPr="0045163B">
              <w:rPr>
                <w:rFonts w:ascii="Arial" w:eastAsia="Arial" w:hAnsi="Arial" w:cs="Arial"/>
                <w:sz w:val="22"/>
                <w:szCs w:val="22"/>
                <w:lang w:val="en-US"/>
              </w:rPr>
              <w:t xml:space="preserve"> in this sub-section):</w:t>
            </w:r>
          </w:p>
          <w:p w14:paraId="46E696A4" w14:textId="77777777" w:rsidR="0055261E" w:rsidRPr="0045163B" w:rsidRDefault="0055261E" w:rsidP="00925080">
            <w:pPr>
              <w:numPr>
                <w:ilvl w:val="0"/>
                <w:numId w:val="16"/>
              </w:numPr>
              <w:jc w:val="both"/>
              <w:rPr>
                <w:rFonts w:ascii="Arial" w:eastAsia="Arial" w:hAnsi="Arial" w:cs="Arial"/>
                <w:sz w:val="22"/>
                <w:szCs w:val="22"/>
                <w:lang w:val="en-US"/>
              </w:rPr>
            </w:pPr>
            <w:r w:rsidRPr="0045163B">
              <w:rPr>
                <w:rFonts w:ascii="Arial" w:eastAsia="Arial" w:hAnsi="Arial" w:cs="Arial"/>
                <w:sz w:val="22"/>
                <w:szCs w:val="22"/>
                <w:lang w:val="en-US"/>
              </w:rPr>
              <w:t>RBDG-MAN-030-0107 BIM_EIR  </w:t>
            </w:r>
          </w:p>
          <w:p w14:paraId="6B6B4115" w14:textId="7C441013" w:rsidR="0055261E" w:rsidRPr="0045163B" w:rsidRDefault="0055261E" w:rsidP="00925080">
            <w:pPr>
              <w:numPr>
                <w:ilvl w:val="0"/>
                <w:numId w:val="18"/>
              </w:numPr>
              <w:jc w:val="both"/>
              <w:rPr>
                <w:rFonts w:ascii="Arial" w:eastAsia="Arial" w:hAnsi="Arial" w:cs="Arial"/>
                <w:sz w:val="22"/>
                <w:szCs w:val="22"/>
                <w:lang w:val="en-US"/>
              </w:rPr>
            </w:pPr>
            <w:r w:rsidRPr="0045163B">
              <w:rPr>
                <w:rFonts w:ascii="Arial" w:eastAsia="Arial" w:hAnsi="Arial" w:cs="Arial"/>
                <w:sz w:val="22"/>
                <w:szCs w:val="22"/>
                <w:lang w:val="en-US"/>
              </w:rPr>
              <w:t>RBDG-MAN-040-0102 Digital Information requirements </w:t>
            </w:r>
          </w:p>
          <w:p w14:paraId="0D84B637" w14:textId="77777777" w:rsidR="0055261E" w:rsidRPr="0045163B" w:rsidRDefault="0055261E" w:rsidP="00925080">
            <w:pPr>
              <w:numPr>
                <w:ilvl w:val="0"/>
                <w:numId w:val="20"/>
              </w:numPr>
              <w:jc w:val="both"/>
              <w:rPr>
                <w:rFonts w:ascii="Arial" w:eastAsia="Arial" w:hAnsi="Arial" w:cs="Arial"/>
                <w:sz w:val="22"/>
                <w:szCs w:val="22"/>
                <w:lang w:val="en-US"/>
              </w:rPr>
            </w:pPr>
            <w:r w:rsidRPr="0045163B">
              <w:rPr>
                <w:rFonts w:ascii="Arial" w:eastAsia="Arial" w:hAnsi="Arial" w:cs="Arial"/>
                <w:sz w:val="22"/>
                <w:szCs w:val="22"/>
                <w:lang w:val="en-US"/>
              </w:rPr>
              <w:t xml:space="preserve">RBDG-MAN-035-0103 </w:t>
            </w:r>
            <w:proofErr w:type="spellStart"/>
            <w:r w:rsidRPr="0045163B">
              <w:rPr>
                <w:rFonts w:ascii="Arial" w:eastAsia="Arial" w:hAnsi="Arial" w:cs="Arial"/>
                <w:sz w:val="22"/>
                <w:szCs w:val="22"/>
                <w:lang w:val="en-US"/>
              </w:rPr>
              <w:t>CodificationDataManagement</w:t>
            </w:r>
            <w:proofErr w:type="spellEnd"/>
            <w:r w:rsidRPr="0045163B">
              <w:rPr>
                <w:rFonts w:ascii="Arial" w:eastAsia="Arial" w:hAnsi="Arial" w:cs="Arial"/>
                <w:sz w:val="22"/>
                <w:szCs w:val="22"/>
                <w:lang w:val="en-US"/>
              </w:rPr>
              <w:t> </w:t>
            </w:r>
          </w:p>
          <w:p w14:paraId="4E38427D" w14:textId="43E9D4B3" w:rsidR="0055261E" w:rsidRPr="0045163B" w:rsidRDefault="0055261E" w:rsidP="00925080">
            <w:pPr>
              <w:numPr>
                <w:ilvl w:val="0"/>
                <w:numId w:val="22"/>
              </w:numPr>
              <w:jc w:val="both"/>
              <w:rPr>
                <w:rFonts w:ascii="Arial" w:eastAsia="Arial" w:hAnsi="Arial" w:cs="Arial"/>
                <w:sz w:val="22"/>
                <w:szCs w:val="22"/>
                <w:lang w:val="en-US"/>
              </w:rPr>
            </w:pPr>
            <w:r w:rsidRPr="0045163B">
              <w:rPr>
                <w:rFonts w:ascii="Arial" w:eastAsia="Arial" w:hAnsi="Arial" w:cs="Arial"/>
                <w:sz w:val="22"/>
                <w:szCs w:val="22"/>
                <w:lang w:val="en-US"/>
              </w:rPr>
              <w:t xml:space="preserve">RBDG-MAN-039-0101 </w:t>
            </w:r>
            <w:proofErr w:type="spellStart"/>
            <w:r w:rsidRPr="0045163B">
              <w:rPr>
                <w:rFonts w:ascii="Arial" w:eastAsia="Arial" w:hAnsi="Arial" w:cs="Arial"/>
                <w:sz w:val="22"/>
                <w:szCs w:val="22"/>
                <w:lang w:val="en-US"/>
              </w:rPr>
              <w:t>Geodesy_construction</w:t>
            </w:r>
            <w:proofErr w:type="spellEnd"/>
            <w:r w:rsidRPr="0045163B">
              <w:rPr>
                <w:rFonts w:ascii="Arial" w:eastAsia="Arial" w:hAnsi="Arial" w:cs="Arial"/>
                <w:sz w:val="22"/>
                <w:szCs w:val="22"/>
                <w:lang w:val="en-US"/>
              </w:rPr>
              <w:t xml:space="preserve"> stage </w:t>
            </w:r>
          </w:p>
          <w:p w14:paraId="7A86FA1B" w14:textId="1CB96A5D" w:rsidR="0055261E" w:rsidRPr="0045163B" w:rsidRDefault="0055261E" w:rsidP="00925080">
            <w:pPr>
              <w:numPr>
                <w:ilvl w:val="0"/>
                <w:numId w:val="24"/>
              </w:numPr>
              <w:jc w:val="both"/>
              <w:rPr>
                <w:rFonts w:ascii="Arial" w:eastAsia="Arial" w:hAnsi="Arial" w:cs="Arial"/>
                <w:sz w:val="22"/>
                <w:szCs w:val="22"/>
                <w:lang w:val="en-US"/>
              </w:rPr>
            </w:pPr>
            <w:r w:rsidRPr="0045163B">
              <w:rPr>
                <w:rFonts w:ascii="Arial" w:eastAsia="Arial" w:hAnsi="Arial" w:cs="Arial"/>
                <w:sz w:val="22"/>
                <w:szCs w:val="22"/>
                <w:lang w:val="en-US"/>
              </w:rPr>
              <w:t xml:space="preserve">RBDG-MAN-038-0101 </w:t>
            </w:r>
            <w:proofErr w:type="spellStart"/>
            <w:r w:rsidRPr="0045163B">
              <w:rPr>
                <w:rFonts w:ascii="Arial" w:eastAsia="Arial" w:hAnsi="Arial" w:cs="Arial"/>
                <w:sz w:val="22"/>
                <w:szCs w:val="22"/>
                <w:lang w:val="en-US"/>
              </w:rPr>
              <w:t>Geodesy_design</w:t>
            </w:r>
            <w:proofErr w:type="spellEnd"/>
            <w:r w:rsidRPr="0045163B">
              <w:rPr>
                <w:rFonts w:ascii="Arial" w:eastAsia="Arial" w:hAnsi="Arial" w:cs="Arial"/>
                <w:sz w:val="22"/>
                <w:szCs w:val="22"/>
                <w:lang w:val="en-US"/>
              </w:rPr>
              <w:t xml:space="preserve"> stage  </w:t>
            </w:r>
          </w:p>
          <w:p w14:paraId="57BB6F78" w14:textId="77777777" w:rsidR="0055261E" w:rsidRPr="0045163B" w:rsidRDefault="0055261E" w:rsidP="00925080">
            <w:pPr>
              <w:numPr>
                <w:ilvl w:val="0"/>
                <w:numId w:val="4"/>
              </w:numPr>
              <w:jc w:val="both"/>
              <w:rPr>
                <w:rFonts w:ascii="Arial" w:eastAsia="Arial" w:hAnsi="Arial" w:cs="Arial"/>
                <w:sz w:val="22"/>
                <w:szCs w:val="22"/>
                <w:lang w:val="en-US"/>
              </w:rPr>
            </w:pPr>
            <w:r w:rsidRPr="0045163B">
              <w:rPr>
                <w:rFonts w:ascii="Arial" w:eastAsia="Arial" w:hAnsi="Arial" w:cs="Arial"/>
                <w:sz w:val="22"/>
                <w:szCs w:val="22"/>
                <w:lang w:val="en-US"/>
              </w:rPr>
              <w:t xml:space="preserve">RBDG-MAN-034-0102 </w:t>
            </w:r>
            <w:proofErr w:type="spellStart"/>
            <w:r w:rsidRPr="0045163B">
              <w:rPr>
                <w:rFonts w:ascii="Arial" w:eastAsia="Arial" w:hAnsi="Arial" w:cs="Arial"/>
                <w:sz w:val="22"/>
                <w:szCs w:val="22"/>
                <w:lang w:val="en-US"/>
              </w:rPr>
              <w:t>CADStandards</w:t>
            </w:r>
            <w:proofErr w:type="spellEnd"/>
            <w:r w:rsidRPr="0045163B">
              <w:rPr>
                <w:rFonts w:ascii="Arial" w:eastAsia="Arial" w:hAnsi="Arial" w:cs="Arial"/>
                <w:sz w:val="22"/>
                <w:szCs w:val="22"/>
                <w:lang w:val="en-US"/>
              </w:rPr>
              <w:t> </w:t>
            </w:r>
          </w:p>
          <w:p w14:paraId="0264ABB3" w14:textId="77777777" w:rsidR="0055261E" w:rsidRPr="0045163B" w:rsidRDefault="0055261E" w:rsidP="00925080">
            <w:pPr>
              <w:numPr>
                <w:ilvl w:val="0"/>
                <w:numId w:val="6"/>
              </w:numPr>
              <w:jc w:val="both"/>
              <w:rPr>
                <w:rFonts w:ascii="Arial" w:eastAsia="Arial" w:hAnsi="Arial" w:cs="Arial"/>
                <w:sz w:val="22"/>
                <w:szCs w:val="22"/>
                <w:lang w:val="en-US"/>
              </w:rPr>
            </w:pPr>
            <w:r w:rsidRPr="0045163B">
              <w:rPr>
                <w:rFonts w:ascii="Arial" w:eastAsia="Arial" w:hAnsi="Arial" w:cs="Arial"/>
                <w:sz w:val="22"/>
                <w:szCs w:val="22"/>
                <w:lang w:val="en-US"/>
              </w:rPr>
              <w:t xml:space="preserve">RBDG-MAN-033-0103 </w:t>
            </w:r>
            <w:proofErr w:type="spellStart"/>
            <w:r w:rsidRPr="0045163B">
              <w:rPr>
                <w:rFonts w:ascii="Arial" w:eastAsia="Arial" w:hAnsi="Arial" w:cs="Arial"/>
                <w:sz w:val="22"/>
                <w:szCs w:val="22"/>
                <w:lang w:val="en-US"/>
              </w:rPr>
              <w:t>BIMManual</w:t>
            </w:r>
            <w:proofErr w:type="spellEnd"/>
            <w:r w:rsidRPr="0045163B">
              <w:rPr>
                <w:rFonts w:ascii="Arial" w:eastAsia="Arial" w:hAnsi="Arial" w:cs="Arial"/>
                <w:sz w:val="22"/>
                <w:szCs w:val="22"/>
                <w:lang w:val="en-US"/>
              </w:rPr>
              <w:t> </w:t>
            </w:r>
          </w:p>
          <w:p w14:paraId="5C1A0306" w14:textId="77777777" w:rsidR="0055261E" w:rsidRPr="0045163B" w:rsidRDefault="0055261E" w:rsidP="00925080">
            <w:pPr>
              <w:numPr>
                <w:ilvl w:val="0"/>
                <w:numId w:val="8"/>
              </w:numPr>
              <w:jc w:val="both"/>
              <w:rPr>
                <w:rFonts w:ascii="Arial" w:eastAsia="Arial" w:hAnsi="Arial" w:cs="Arial"/>
                <w:sz w:val="22"/>
                <w:szCs w:val="22"/>
                <w:lang w:val="en-US"/>
              </w:rPr>
            </w:pPr>
            <w:r w:rsidRPr="0045163B">
              <w:rPr>
                <w:rFonts w:ascii="Arial" w:eastAsia="Arial" w:hAnsi="Arial" w:cs="Arial"/>
                <w:sz w:val="22"/>
                <w:szCs w:val="22"/>
                <w:lang w:val="en-US"/>
              </w:rPr>
              <w:t xml:space="preserve">Other documents </w:t>
            </w:r>
            <w:hyperlink r:id="rId11">
              <w:r w:rsidRPr="0045163B">
                <w:rPr>
                  <w:rFonts w:ascii="Arial" w:eastAsia="Arial" w:hAnsi="Arial" w:cs="Arial"/>
                  <w:sz w:val="22"/>
                  <w:szCs w:val="22"/>
                  <w:u w:val="single"/>
                  <w:lang w:val="en-US"/>
                </w:rPr>
                <w:t>https://www.railbaltica.org/design-guidelines/</w:t>
              </w:r>
            </w:hyperlink>
            <w:r w:rsidRPr="0045163B">
              <w:rPr>
                <w:rFonts w:ascii="Arial" w:eastAsia="Arial" w:hAnsi="Arial" w:cs="Arial"/>
                <w:sz w:val="22"/>
                <w:szCs w:val="22"/>
                <w:lang w:val="en-US"/>
              </w:rPr>
              <w:t> </w:t>
            </w:r>
          </w:p>
          <w:p w14:paraId="6E6D3AE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BIM requirements apply to the entire scope of Services, including all technical disciplines that are included in the supplier’s </w:t>
            </w:r>
            <w:r w:rsidRPr="0045163B">
              <w:rPr>
                <w:rFonts w:ascii="Arial" w:eastAsia="Arial" w:hAnsi="Arial" w:cs="Arial"/>
                <w:sz w:val="22"/>
                <w:szCs w:val="22"/>
                <w:lang w:val="en-US"/>
              </w:rPr>
              <w:lastRenderedPageBreak/>
              <w:t>design/construction scope (including engineering network intersections).</w:t>
            </w:r>
          </w:p>
          <w:p w14:paraId="01749BF0" w14:textId="1A1B5B6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must provide BIM model files in native editable with </w:t>
            </w:r>
            <w:proofErr w:type="spellStart"/>
            <w:r w:rsidRPr="0045163B">
              <w:rPr>
                <w:rFonts w:ascii="Arial" w:eastAsia="Arial" w:hAnsi="Arial" w:cs="Arial"/>
                <w:sz w:val="22"/>
                <w:szCs w:val="22"/>
                <w:lang w:val="en-US"/>
              </w:rPr>
              <w:t>aditional</w:t>
            </w:r>
            <w:proofErr w:type="spellEnd"/>
            <w:r w:rsidRPr="0045163B">
              <w:rPr>
                <w:rFonts w:ascii="Arial" w:eastAsia="Arial" w:hAnsi="Arial" w:cs="Arial"/>
                <w:sz w:val="22"/>
                <w:szCs w:val="22"/>
                <w:lang w:val="en-US"/>
              </w:rPr>
              <w:t xml:space="preserve"> work files and .IFC file formats in accordance with the requirements listed in RBDG-MAN-030-0107_BIM_EIR.</w:t>
            </w:r>
          </w:p>
          <w:p w14:paraId="40C52B0F" w14:textId="5CDDF21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 ensure sufficient hardware and software performance to perform 3D model analysis (collision checks, etc.) and provide the Services at the level specified in the BIM requirements. The limitations of the software selected by the supplier do not excuse the supplier from fulfilling the customer’s requirements</w:t>
            </w:r>
          </w:p>
          <w:p w14:paraId="4C13D36F" w14:textId="5887900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11.2.5.1 During the proposal submission stage, the bidder (potential supplier) prepares a pre-contract BIM Execution Plan (pre-contract BEP) as part of their technical proposal. This plan outlines the approach the bidder intends to take to meet the customer’s BIM requirements if awarded the contract. The pre-contract BIM implementation plan is the basis for the post-contract BIM implementation plan, which is more detailed and is prepared after the contract is signed.</w:t>
            </w:r>
          </w:p>
          <w:p w14:paraId="6DF9673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pre-contract BIM implementation plan (pre-contract BEP) must demonstrate the bidder’s capabilities and readiness to comply with the customer’s digital construction requirements. It should also include the bidder’s commitment to prepare a detailed post-contract BIM implementation plan (post-contract BEP) after the contract is signed.</w:t>
            </w:r>
          </w:p>
          <w:p w14:paraId="3BF46FF5" w14:textId="38AD2A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pre-contractual BIM implementation plan must be completed according to the template (Annex 33) provided by the Customer, guided by the information provided in the BIM Guidelines and submitted as part of the technical proposal. It should include information on organizational roles, BIM use cases, software and technologies, modeling standards, coordination procedures, quality assurance plans, and other relevant details. </w:t>
            </w:r>
            <w:r w:rsidRPr="0045163B">
              <w:rPr>
                <w:lang w:val="en-US"/>
              </w:rPr>
              <w:t>The Client will assess the Supplier’s readiness based on the information provided in the pre-BEP document.</w:t>
            </w:r>
          </w:p>
          <w:p w14:paraId="07601905" w14:textId="56A4E47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11.2.5.2 A post-contract BIM implementation plan (post-contract BEP), or simply BEP, is a detailed document detailing how the project will be executed, monitored and controlled in terms of structural information modeling (BIM). It is prepared after the contract is signed, before any BIM-related work begins, and is based on the pre-contractual BEP submitted at the procurement stage, the requirements set out in the BIM Guidelines.</w:t>
            </w:r>
          </w:p>
          <w:p w14:paraId="2B28C47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The BEP is a “living document” that can be updated by mutual agreement of the parties throughout the contract to reflect any changes or updates to the digital engineering process.</w:t>
            </w:r>
          </w:p>
          <w:p w14:paraId="3779DFB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Minimum information to be reflected in the Post-Contractual BEP:</w:t>
            </w:r>
          </w:p>
          <w:p w14:paraId="0AAECD56" w14:textId="77777777" w:rsidR="0055261E" w:rsidRPr="0045163B" w:rsidRDefault="0055261E" w:rsidP="00925080">
            <w:pPr>
              <w:numPr>
                <w:ilvl w:val="0"/>
                <w:numId w:val="10"/>
              </w:numPr>
              <w:jc w:val="both"/>
              <w:rPr>
                <w:rFonts w:ascii="Arial" w:eastAsia="Arial" w:hAnsi="Arial" w:cs="Arial"/>
                <w:sz w:val="22"/>
                <w:szCs w:val="22"/>
                <w:lang w:val="en-US"/>
              </w:rPr>
            </w:pPr>
            <w:r w:rsidRPr="0045163B">
              <w:rPr>
                <w:rFonts w:ascii="Arial" w:eastAsia="Arial" w:hAnsi="Arial" w:cs="Arial"/>
                <w:sz w:val="22"/>
                <w:szCs w:val="22"/>
                <w:lang w:val="en-US"/>
              </w:rPr>
              <w:t>Project Information: Name/names of the project/projects, construction object number/numbers and description.</w:t>
            </w:r>
          </w:p>
          <w:p w14:paraId="7C285499" w14:textId="77777777" w:rsidR="0055261E" w:rsidRPr="0045163B" w:rsidRDefault="0055261E" w:rsidP="00925080">
            <w:pPr>
              <w:numPr>
                <w:ilvl w:val="0"/>
                <w:numId w:val="11"/>
              </w:numPr>
              <w:jc w:val="both"/>
              <w:rPr>
                <w:rFonts w:ascii="Arial" w:eastAsia="Arial" w:hAnsi="Arial" w:cs="Arial"/>
                <w:sz w:val="22"/>
                <w:szCs w:val="22"/>
                <w:lang w:val="en-US"/>
              </w:rPr>
            </w:pPr>
            <w:r w:rsidRPr="0045163B">
              <w:rPr>
                <w:rFonts w:ascii="Arial" w:eastAsia="Arial" w:hAnsi="Arial" w:cs="Arial"/>
                <w:sz w:val="22"/>
                <w:szCs w:val="22"/>
                <w:lang w:val="en-US"/>
              </w:rPr>
              <w:t>Project Team and Responsibilities: A detailed list of all project team members involved in BIM processes, their roles, responsibilities and contact information.</w:t>
            </w:r>
          </w:p>
          <w:p w14:paraId="5768CAEA" w14:textId="77777777" w:rsidR="0055261E" w:rsidRPr="0045163B" w:rsidRDefault="0055261E" w:rsidP="00925080">
            <w:pPr>
              <w:numPr>
                <w:ilvl w:val="0"/>
                <w:numId w:val="13"/>
              </w:numPr>
              <w:jc w:val="both"/>
              <w:rPr>
                <w:rFonts w:ascii="Arial" w:eastAsia="Arial" w:hAnsi="Arial" w:cs="Arial"/>
                <w:sz w:val="22"/>
                <w:szCs w:val="22"/>
                <w:lang w:val="en-US"/>
              </w:rPr>
            </w:pPr>
            <w:r w:rsidRPr="0045163B">
              <w:rPr>
                <w:rFonts w:ascii="Arial" w:eastAsia="Arial" w:hAnsi="Arial" w:cs="Arial"/>
                <w:sz w:val="22"/>
                <w:szCs w:val="22"/>
                <w:lang w:val="en-US"/>
              </w:rPr>
              <w:t>BIM Goals and Uses: Clearly defined BIM goals and objectives for each phase of the project, aligned with the overall project goals. Identifying specific BIM use cases (e.g. collision detection, 4D modeling, 5D costing) to be implemented at each stage.</w:t>
            </w:r>
          </w:p>
          <w:p w14:paraId="3222E92E" w14:textId="77777777" w:rsidR="0055261E" w:rsidRPr="0045163B" w:rsidRDefault="0055261E" w:rsidP="00925080">
            <w:pPr>
              <w:numPr>
                <w:ilvl w:val="0"/>
                <w:numId w:val="17"/>
              </w:numPr>
              <w:jc w:val="both"/>
              <w:rPr>
                <w:rFonts w:ascii="Arial" w:eastAsia="Arial" w:hAnsi="Arial" w:cs="Arial"/>
                <w:sz w:val="22"/>
                <w:szCs w:val="22"/>
                <w:lang w:val="en-US"/>
              </w:rPr>
            </w:pPr>
            <w:r w:rsidRPr="0045163B">
              <w:rPr>
                <w:rFonts w:ascii="Arial" w:eastAsia="Arial" w:hAnsi="Arial" w:cs="Arial"/>
                <w:sz w:val="22"/>
                <w:szCs w:val="22"/>
                <w:lang w:val="en-US"/>
              </w:rPr>
              <w:t>Software and Technologies: Identifying the BIM creation, analysis and collaboration software to be used, their versions, ensuring compatibility and interoperability between project participants.</w:t>
            </w:r>
          </w:p>
          <w:p w14:paraId="3827A3F8" w14:textId="77777777" w:rsidR="0055261E" w:rsidRPr="0045163B" w:rsidRDefault="0055261E" w:rsidP="00925080">
            <w:pPr>
              <w:numPr>
                <w:ilvl w:val="0"/>
                <w:numId w:val="19"/>
              </w:numPr>
              <w:jc w:val="both"/>
              <w:rPr>
                <w:rFonts w:ascii="Arial" w:eastAsia="Arial" w:hAnsi="Arial" w:cs="Arial"/>
                <w:sz w:val="22"/>
                <w:szCs w:val="22"/>
                <w:lang w:val="en-US"/>
              </w:rPr>
            </w:pPr>
            <w:r w:rsidRPr="0045163B">
              <w:rPr>
                <w:rFonts w:ascii="Arial" w:eastAsia="Arial" w:hAnsi="Arial" w:cs="Arial"/>
                <w:sz w:val="22"/>
                <w:szCs w:val="22"/>
                <w:lang w:val="en-US"/>
              </w:rPr>
              <w:lastRenderedPageBreak/>
              <w:t>Level of Development (LOD) Specifications: Creation of detailed LOD specifications for each element of the model, specifying the required level of geometric detail (</w:t>
            </w:r>
            <w:proofErr w:type="spellStart"/>
            <w:r w:rsidRPr="0045163B">
              <w:rPr>
                <w:rFonts w:ascii="Arial" w:eastAsia="Arial" w:hAnsi="Arial" w:cs="Arial"/>
                <w:sz w:val="22"/>
                <w:szCs w:val="22"/>
                <w:lang w:val="en-US"/>
              </w:rPr>
              <w:t>LoG</w:t>
            </w:r>
            <w:proofErr w:type="spellEnd"/>
            <w:r w:rsidRPr="0045163B">
              <w:rPr>
                <w:rFonts w:ascii="Arial" w:eastAsia="Arial" w:hAnsi="Arial" w:cs="Arial"/>
                <w:sz w:val="22"/>
                <w:szCs w:val="22"/>
                <w:lang w:val="en-US"/>
              </w:rPr>
              <w:t>) and level of information (</w:t>
            </w:r>
            <w:proofErr w:type="spellStart"/>
            <w:r w:rsidRPr="0045163B">
              <w:rPr>
                <w:rFonts w:ascii="Arial" w:eastAsia="Arial" w:hAnsi="Arial" w:cs="Arial"/>
                <w:sz w:val="22"/>
                <w:szCs w:val="22"/>
                <w:lang w:val="en-US"/>
              </w:rPr>
              <w:t>LoI</w:t>
            </w:r>
            <w:proofErr w:type="spellEnd"/>
            <w:r w:rsidRPr="0045163B">
              <w:rPr>
                <w:rFonts w:ascii="Arial" w:eastAsia="Arial" w:hAnsi="Arial" w:cs="Arial"/>
                <w:sz w:val="22"/>
                <w:szCs w:val="22"/>
                <w:lang w:val="en-US"/>
              </w:rPr>
              <w:t>) for each stage of the project.</w:t>
            </w:r>
          </w:p>
          <w:p w14:paraId="40C05E20" w14:textId="77777777" w:rsidR="0055261E" w:rsidRPr="0045163B" w:rsidRDefault="0055261E" w:rsidP="00925080">
            <w:pPr>
              <w:numPr>
                <w:ilvl w:val="0"/>
                <w:numId w:val="21"/>
              </w:numPr>
              <w:jc w:val="both"/>
              <w:rPr>
                <w:rFonts w:ascii="Arial" w:eastAsia="Arial" w:hAnsi="Arial" w:cs="Arial"/>
                <w:sz w:val="22"/>
                <w:szCs w:val="22"/>
                <w:lang w:val="en-US"/>
              </w:rPr>
            </w:pPr>
            <w:r w:rsidRPr="0045163B">
              <w:rPr>
                <w:rFonts w:ascii="Arial" w:eastAsia="Arial" w:hAnsi="Arial" w:cs="Arial"/>
                <w:sz w:val="22"/>
                <w:szCs w:val="22"/>
                <w:lang w:val="en-US"/>
              </w:rPr>
              <w:t>Modeling Standards and Protocols: Identification of all relevant BIM standards and protocols that the supplier will adhere to, including ISO 19650, object naming conventions, layering and attribute requirements, ensuring consistency and data integrity across models.</w:t>
            </w:r>
          </w:p>
          <w:p w14:paraId="5EF372EE" w14:textId="77777777" w:rsidR="0055261E" w:rsidRPr="0045163B" w:rsidRDefault="0055261E" w:rsidP="00925080">
            <w:pPr>
              <w:numPr>
                <w:ilvl w:val="0"/>
                <w:numId w:val="23"/>
              </w:numPr>
              <w:jc w:val="both"/>
              <w:rPr>
                <w:rFonts w:ascii="Arial" w:eastAsia="Arial" w:hAnsi="Arial" w:cs="Arial"/>
                <w:sz w:val="22"/>
                <w:szCs w:val="22"/>
                <w:lang w:val="en-US"/>
              </w:rPr>
            </w:pPr>
            <w:r w:rsidRPr="0045163B">
              <w:rPr>
                <w:rFonts w:ascii="Arial" w:eastAsia="Arial" w:hAnsi="Arial" w:cs="Arial"/>
                <w:sz w:val="22"/>
                <w:szCs w:val="22"/>
                <w:lang w:val="en-US"/>
              </w:rPr>
              <w:t>Coordination and Collaboration Procedures: Defining coordination processes, including collision detection procedures, model exchange formats, and frequency of coordination meetings with the Customer’s BIM team.</w:t>
            </w:r>
          </w:p>
          <w:p w14:paraId="3DCF9E05" w14:textId="77777777" w:rsidR="0055261E" w:rsidRPr="0045163B" w:rsidRDefault="0055261E" w:rsidP="00925080">
            <w:pPr>
              <w:numPr>
                <w:ilvl w:val="0"/>
                <w:numId w:val="3"/>
              </w:numPr>
              <w:jc w:val="both"/>
              <w:rPr>
                <w:rFonts w:ascii="Arial" w:eastAsia="Arial" w:hAnsi="Arial" w:cs="Arial"/>
                <w:sz w:val="22"/>
                <w:szCs w:val="22"/>
                <w:lang w:val="en-US"/>
              </w:rPr>
            </w:pPr>
            <w:r w:rsidRPr="0045163B">
              <w:rPr>
                <w:rFonts w:ascii="Arial" w:eastAsia="Arial" w:hAnsi="Arial" w:cs="Arial"/>
                <w:sz w:val="22"/>
                <w:szCs w:val="22"/>
                <w:lang w:val="en-US"/>
              </w:rPr>
              <w:t>Quality Assurance and Control (QA/QC) Plan: Implementation of the QA/QC plan to ensure model accuracy, completeness and adherence to project standards.</w:t>
            </w:r>
          </w:p>
          <w:p w14:paraId="0EC64AF5" w14:textId="77777777" w:rsidR="0055261E" w:rsidRPr="0045163B" w:rsidRDefault="0055261E" w:rsidP="00925080">
            <w:pPr>
              <w:numPr>
                <w:ilvl w:val="0"/>
                <w:numId w:val="5"/>
              </w:numPr>
              <w:jc w:val="both"/>
              <w:rPr>
                <w:rFonts w:ascii="Arial" w:eastAsia="Arial" w:hAnsi="Arial" w:cs="Arial"/>
                <w:sz w:val="22"/>
                <w:szCs w:val="22"/>
                <w:lang w:val="en-US"/>
              </w:rPr>
            </w:pPr>
            <w:r w:rsidRPr="0045163B">
              <w:rPr>
                <w:rFonts w:ascii="Arial" w:eastAsia="Arial" w:hAnsi="Arial" w:cs="Arial"/>
                <w:sz w:val="22"/>
                <w:szCs w:val="22"/>
                <w:lang w:val="en-US"/>
              </w:rPr>
              <w:t>Common Data Environment (CDE): Using an established CDE platform for all BIM data exchange, collaboration and document management activities.</w:t>
            </w:r>
          </w:p>
          <w:p w14:paraId="5771D100"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11.2.5.3 The Supplier shall prepare and submit a Master Information Delivery Plan (MIDP) that specifies all project information deliverables, including models, drawings, specifications, data transfers and other related deliverables. The MIDP must clearly identify the responsible party, delivery schedule and level of detail (LOD) for each delivery.</w:t>
            </w:r>
          </w:p>
          <w:p w14:paraId="7A230FB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MIDP must include all associated Task Information Delivery Plans (TIDPs) detailing the information deliverables for each specific discipline or package in the project. The TIDP must also identify the responsible party and LOD for each delivery.</w:t>
            </w:r>
          </w:p>
          <w:p w14:paraId="654C325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 use the provided MIDP (RBDG-TPL-015-103_MIDPTemplate) and TIDP (RBDG-TPL-014-103_TIDPTemplate) templates as a minimum requirement.</w:t>
            </w:r>
          </w:p>
          <w:p w14:paraId="58F723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MIDPs must be submitted with the post-contractual BIM Execution Plan (BEP) after contract signature and updated throughout the project lifecycle to reflect any changes or updates to project scope or deliverables.</w:t>
            </w:r>
          </w:p>
          <w:p w14:paraId="052428A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MIDP and TIDP will be used to monitor the progress of information delivery and ensure that all required information is delivered at the right time, to the right people and at the right level of detail. This will facilitate effective project planning, coordination and communication among all stakeholders.</w:t>
            </w:r>
          </w:p>
          <w:p w14:paraId="5E2EC6C7" w14:textId="7BD2F5C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11.2.5.4 Models developed by the supplier must achieve a level of detail of LOD 300 </w:t>
            </w:r>
            <w:r w:rsidRPr="0045163B">
              <w:rPr>
                <w:rFonts w:ascii="Arial" w:eastAsia="Arial" w:hAnsi="Arial" w:cs="Arial"/>
                <w:sz w:val="22"/>
                <w:szCs w:val="22"/>
                <w:u w:val="single"/>
                <w:lang w:val="en-US"/>
              </w:rPr>
              <w:t xml:space="preserve">400 </w:t>
            </w:r>
            <w:r w:rsidRPr="0045163B">
              <w:rPr>
                <w:rFonts w:ascii="Arial" w:eastAsia="Arial" w:hAnsi="Arial" w:cs="Arial"/>
                <w:sz w:val="22"/>
                <w:szCs w:val="22"/>
                <w:lang w:val="en-US"/>
              </w:rPr>
              <w:t>(LoG300 + LoI300) Models developed by supplier in design proposals stage must achieve a level of detail of LOD 300 (LoG300+LoI300) and models developed for Master detailed technical design must achieve LOD400 (LoG300+LoI400) as specified in the requirements of RBDG-MAN-030-0107_BIM_EIR.</w:t>
            </w:r>
          </w:p>
          <w:p w14:paraId="2194589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If the </w:t>
            </w:r>
            <w:proofErr w:type="spellStart"/>
            <w:r w:rsidRPr="0045163B">
              <w:rPr>
                <w:rFonts w:ascii="Arial" w:eastAsia="Arial" w:hAnsi="Arial" w:cs="Arial"/>
                <w:sz w:val="22"/>
                <w:szCs w:val="22"/>
                <w:lang w:val="en-US"/>
              </w:rPr>
              <w:t>LoG</w:t>
            </w:r>
            <w:proofErr w:type="spellEnd"/>
            <w:r w:rsidRPr="0045163B">
              <w:rPr>
                <w:rFonts w:ascii="Arial" w:eastAsia="Arial" w:hAnsi="Arial" w:cs="Arial"/>
                <w:sz w:val="22"/>
                <w:szCs w:val="22"/>
                <w:lang w:val="en-US"/>
              </w:rPr>
              <w:t xml:space="preserve"> (level of geometric detail) definitions in the Design Guidelines are unclear, the Supplier must request clarification from the Customer.</w:t>
            </w:r>
          </w:p>
          <w:p w14:paraId="7C9319D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exact LOD requirements for each discipline and system are given in document RBDG-MAN-030-0107_BIM_EIR.</w:t>
            </w:r>
          </w:p>
          <w:p w14:paraId="7FC8A67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11.2.5.5 The documents of the graphic part of the project must be generated on the basis of the BIM model by applying the good practices of the BIM methodology and taking into account the requirements specified in the Design Guidelines </w:t>
            </w:r>
            <w:r w:rsidRPr="0045163B">
              <w:rPr>
                <w:rFonts w:ascii="Arial" w:eastAsia="Arial" w:hAnsi="Arial" w:cs="Arial"/>
                <w:sz w:val="22"/>
                <w:szCs w:val="22"/>
                <w:u w:val="single"/>
                <w:lang w:val="en-US"/>
              </w:rPr>
              <w:t>(</w:t>
            </w:r>
            <w:hyperlink r:id="rId12">
              <w:r w:rsidRPr="0045163B">
                <w:rPr>
                  <w:rFonts w:ascii="Arial" w:eastAsia="Arial" w:hAnsi="Arial" w:cs="Arial"/>
                  <w:sz w:val="22"/>
                  <w:szCs w:val="22"/>
                  <w:u w:val="single"/>
                  <w:lang w:val="en-US"/>
                </w:rPr>
                <w:t>https://www.railbaltica.org/design-guidelines</w:t>
              </w:r>
            </w:hyperlink>
            <w:r w:rsidRPr="0045163B">
              <w:rPr>
                <w:rFonts w:ascii="Arial" w:eastAsia="Arial" w:hAnsi="Arial" w:cs="Arial"/>
                <w:sz w:val="22"/>
                <w:szCs w:val="22"/>
                <w:u w:val="single"/>
                <w:lang w:val="en-US"/>
              </w:rPr>
              <w:t>)</w:t>
            </w:r>
            <w:r w:rsidRPr="0045163B">
              <w:rPr>
                <w:rFonts w:ascii="Arial" w:eastAsia="Arial" w:hAnsi="Arial" w:cs="Arial"/>
                <w:sz w:val="22"/>
                <w:szCs w:val="22"/>
                <w:lang w:val="en-US"/>
              </w:rPr>
              <w:t>. </w:t>
            </w:r>
          </w:p>
          <w:p w14:paraId="5C4CDC87" w14:textId="63ACE5F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Project drawings that depict sections of the structure or its elements must have a reference to the model/models on the basis </w:t>
            </w:r>
            <w:r w:rsidRPr="0045163B">
              <w:rPr>
                <w:rFonts w:ascii="Arial" w:eastAsia="Arial" w:hAnsi="Arial" w:cs="Arial"/>
                <w:sz w:val="22"/>
                <w:szCs w:val="22"/>
                <w:lang w:val="en-US"/>
              </w:rPr>
              <w:lastRenderedPageBreak/>
              <w:t xml:space="preserve">of which these sections were made. That is, next to the section number or name, the identification number of this section (section ID) must be provided, which should reflect the reference to the model. A 3D section plan(s) must appear in the model where the section is made, with the section ID as a parameter). </w:t>
            </w:r>
            <w:r w:rsidRPr="0045163B">
              <w:rPr>
                <w:rFonts w:eastAsia="Times New Roman"/>
                <w:lang w:val="en-US"/>
              </w:rPr>
              <w:t>The BEP document may include an alternative approach for interfacing between cross-sectional drawings and model plans.</w:t>
            </w:r>
          </w:p>
          <w:p w14:paraId="3653941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11.2.5.6 The Common Data Environment (CDE) for this project will be hosted on a platform chosen by the Customer. The CDE will be the central repository for all project information, including BIM models, drawings, documents and other critical data.</w:t>
            </w:r>
          </w:p>
          <w:p w14:paraId="1376491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will be granted one license of the tool selected by the Customer to access and work on the CDE. Supplier may purchase additional licenses as needed. All CDE users must adhere to the project’s security plan and related policies, processes, and procedures.</w:t>
            </w:r>
          </w:p>
          <w:p w14:paraId="5440FD2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is responsible for uploading all project-related information to CDE in the correct format and according to the agreed schedule. The supplier is also responsible for maintaining the accuracy and completeness of the information in the CDE.</w:t>
            </w:r>
          </w:p>
          <w:p w14:paraId="4DD5CD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Engineering networks must be presented in such a format (*</w:t>
            </w:r>
            <w:proofErr w:type="spellStart"/>
            <w:r w:rsidRPr="0045163B">
              <w:rPr>
                <w:rFonts w:ascii="Arial" w:eastAsia="Arial" w:hAnsi="Arial" w:cs="Arial"/>
                <w:sz w:val="22"/>
                <w:szCs w:val="22"/>
                <w:lang w:val="en-US"/>
              </w:rPr>
              <w:t>shp</w:t>
            </w:r>
            <w:proofErr w:type="spellEnd"/>
            <w:r w:rsidRPr="0045163B">
              <w:rPr>
                <w:rFonts w:ascii="Arial" w:eastAsia="Arial" w:hAnsi="Arial" w:cs="Arial"/>
                <w:sz w:val="22"/>
                <w:szCs w:val="22"/>
                <w:lang w:val="en-US"/>
              </w:rPr>
              <w:t>) that makes it possible to generate them into the ArcGIS system and the Topography and Engineering Infrastructure Information System (TIIIS).</w:t>
            </w:r>
          </w:p>
          <w:p w14:paraId="68509B5E" w14:textId="5AAC4099"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11.2.5.7 When the Supplier performs project implementation supervision services and makes any changes to the project solutions, they shall first make them in the relevant BIM models, and when sharing the documentation of the updated solutions, they must also submit all BIM model files (both updated and those that did not need to be updated).</w:t>
            </w:r>
          </w:p>
          <w:p w14:paraId="367894EE" w14:textId="00865201" w:rsidR="0055261E" w:rsidRPr="0045163B" w:rsidRDefault="0055261E" w:rsidP="0055261E">
            <w:pPr>
              <w:jc w:val="both"/>
              <w:rPr>
                <w:rFonts w:ascii="Arial" w:eastAsia="Arial" w:hAnsi="Arial" w:cs="Arial"/>
                <w:sz w:val="22"/>
                <w:szCs w:val="22"/>
                <w:lang w:val="en-US"/>
              </w:rPr>
            </w:pPr>
          </w:p>
          <w:p w14:paraId="08CE6F91" w14:textId="77777777" w:rsidR="0055261E" w:rsidRPr="0045163B" w:rsidRDefault="0055261E" w:rsidP="0055261E">
            <w:pPr>
              <w:jc w:val="both"/>
              <w:rPr>
                <w:rFonts w:ascii="Arial" w:eastAsia="Arial" w:hAnsi="Arial" w:cs="Arial"/>
                <w:sz w:val="22"/>
                <w:szCs w:val="22"/>
                <w:lang w:val="en-US"/>
              </w:rPr>
            </w:pPr>
          </w:p>
          <w:p w14:paraId="6D622A9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11.2.6. The Supplier will be responsible for organizing agreements with land plots and real estate owners, trustees, managers and/or users during the entire execution of the Project Services Agreement (including supervision of the execution of the Projects);</w:t>
            </w:r>
          </w:p>
          <w:p w14:paraId="61CDCEAD" w14:textId="77777777" w:rsidR="0055261E" w:rsidRPr="0045163B" w:rsidRDefault="0055261E" w:rsidP="0055261E">
            <w:pPr>
              <w:spacing w:line="276" w:lineRule="auto"/>
              <w:jc w:val="both"/>
              <w:rPr>
                <w:rFonts w:ascii="Arial" w:eastAsia="Arial" w:hAnsi="Arial" w:cs="Arial"/>
                <w:sz w:val="22"/>
                <w:szCs w:val="22"/>
                <w:lang w:val="en-US"/>
              </w:rPr>
            </w:pPr>
          </w:p>
          <w:p w14:paraId="2D56D8AD"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11.2.7. The Supplier must answer the questions related to the project received during the public procurement of the contract works of the prepared project no later than within 3 (three) working days from the date of submission of the Customer’s questions. In reasonable cases agreed with the Customer, a longer deadline for the Supplier’s response may be set. Answers must be clear, unambiguous, provide precise references to the project documents (technical specification, drawings, brochures).</w:t>
            </w:r>
          </w:p>
          <w:p w14:paraId="60D42DCC"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If, during the public procurement of contract works, inaccuracies in the project documentation will be noticed or the project solutions will be clarified/supplemented/additionally detailed, the revised project must be submitted to the Customer no later than within 10 (ten) working days from the Customer’s request to do so.</w:t>
            </w:r>
          </w:p>
          <w:p w14:paraId="6BB9E253"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p>
          <w:p w14:paraId="34DD8C40" w14:textId="42FDD03F" w:rsidR="0055261E" w:rsidRPr="007C17CE"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11.2.8. </w:t>
            </w:r>
            <w:r w:rsidRPr="007C17CE">
              <w:rPr>
                <w:rFonts w:ascii="Arial" w:eastAsia="Arial" w:hAnsi="Arial" w:cs="Arial"/>
                <w:sz w:val="22"/>
                <w:szCs w:val="22"/>
                <w:lang w:val="en-US"/>
              </w:rPr>
              <w:t xml:space="preserve">Given the fact that the project envisages a group of designed buildings, the Supplier will be obliged to present two </w:t>
            </w:r>
            <w:r w:rsidR="00DD5FA1" w:rsidRPr="007C17CE">
              <w:rPr>
                <w:rFonts w:ascii="Arial" w:eastAsia="Arial" w:hAnsi="Arial" w:cs="Arial"/>
                <w:sz w:val="22"/>
                <w:szCs w:val="22"/>
                <w:lang w:val="en-US"/>
              </w:rPr>
              <w:t xml:space="preserve">preliminary </w:t>
            </w:r>
            <w:r w:rsidRPr="007C17CE">
              <w:rPr>
                <w:rFonts w:ascii="Arial" w:eastAsia="Arial" w:hAnsi="Arial" w:cs="Arial"/>
                <w:sz w:val="22"/>
                <w:szCs w:val="22"/>
                <w:lang w:val="en-US"/>
              </w:rPr>
              <w:t xml:space="preserve">alternative architectural solutions for the buildings in relation to the planned territory during the design proposals, from which the Customer will choose one. </w:t>
            </w:r>
            <w:r w:rsidR="00277B65" w:rsidRPr="007C17CE">
              <w:rPr>
                <w:rFonts w:ascii="Arial" w:eastAsia="Arial" w:hAnsi="Arial" w:cs="Arial"/>
                <w:sz w:val="22"/>
                <w:szCs w:val="22"/>
                <w:lang w:val="en-US"/>
              </w:rPr>
              <w:t xml:space="preserve">The Provider will have to justify its solutions as the most cost-effective for the implementation of the project. </w:t>
            </w:r>
            <w:r w:rsidRPr="007C17CE">
              <w:rPr>
                <w:rFonts w:ascii="Arial" w:eastAsia="Arial" w:hAnsi="Arial" w:cs="Arial"/>
                <w:sz w:val="22"/>
                <w:szCs w:val="22"/>
                <w:lang w:val="en-US"/>
              </w:rPr>
              <w:t>Static visualizations will have to be submitted together with the material of project proposals for the evaluation of solutions.</w:t>
            </w:r>
          </w:p>
          <w:p w14:paraId="23DE523C"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p>
          <w:p w14:paraId="09C12A5E"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 Geodetic and topographic surveys:</w:t>
            </w:r>
          </w:p>
          <w:p w14:paraId="4A345B64" w14:textId="08B0B42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11.2.9.1. The supplier will be responsible for the installation of the geodetic base network (geodesic points) in accordance with the requirements of the Rail Baltica Design Guidelines (RBDG-MAN-038and RBDG-MAN-039). When installing the geodetic network, the supplier must plan its installation locations so that they do not fall under design solutions.</w:t>
            </w:r>
          </w:p>
          <w:p w14:paraId="294A0A10" w14:textId="77777777" w:rsidR="0055261E" w:rsidRPr="0045163B" w:rsidRDefault="0055261E" w:rsidP="0055261E">
            <w:pPr>
              <w:jc w:val="both"/>
              <w:rPr>
                <w:rFonts w:ascii="Arial" w:eastAsia="Arial" w:hAnsi="Arial" w:cs="Arial"/>
                <w:strike/>
                <w:sz w:val="22"/>
                <w:szCs w:val="22"/>
                <w:lang w:val="en-US"/>
              </w:rPr>
            </w:pPr>
            <w:r w:rsidRPr="0045163B">
              <w:rPr>
                <w:rFonts w:ascii="Arial" w:eastAsia="Arial" w:hAnsi="Arial" w:cs="Arial"/>
                <w:sz w:val="22"/>
                <w:szCs w:val="22"/>
                <w:lang w:val="en-US"/>
              </w:rPr>
              <w:t>11.2.9.2. The supplier must plan the installation of the base geodetic network in such a way that it does not overlap with the design solutions. When checking the intersections of the design solutions, it is mandatory to check whether the geodetic base network and the design solutions do not overlap. If during the implementation of the entire project (including the stage of concluding the contract) it is determined that according to the design solutions the point of the geodetic base network is below the solutions, the Supplier must cover the costs of rebuilding the geodetic network point(s).</w:t>
            </w:r>
          </w:p>
          <w:p w14:paraId="5DC6221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w:t>
            </w:r>
          </w:p>
          <w:p w14:paraId="3D7B5A04"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Prepare the measurement plan (according to the requirements in the Rail Baltica Design Guidelines) and coordinate it with the Customer before carrying out the work.</w:t>
            </w:r>
          </w:p>
          <w:p w14:paraId="24ECBE37" w14:textId="4BA05F73"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 xml:space="preserve">All raw data </w:t>
            </w:r>
            <w:proofErr w:type="spellStart"/>
            <w:r w:rsidRPr="0045163B">
              <w:rPr>
                <w:rFonts w:ascii="Arial" w:eastAsia="Arial" w:hAnsi="Arial" w:cs="Arial"/>
                <w:sz w:val="22"/>
                <w:szCs w:val="22"/>
                <w:lang w:val="en-US"/>
              </w:rPr>
              <w:t>data</w:t>
            </w:r>
            <w:proofErr w:type="spellEnd"/>
            <w:r w:rsidRPr="0045163B">
              <w:rPr>
                <w:rFonts w:ascii="Arial" w:eastAsia="Arial" w:hAnsi="Arial" w:cs="Arial"/>
                <w:sz w:val="22"/>
                <w:szCs w:val="22"/>
                <w:lang w:val="en-US"/>
              </w:rPr>
              <w:t>, accompanying reports and quality control tests must be compatible with RB or IB.</w:t>
            </w:r>
          </w:p>
          <w:p w14:paraId="53907B56"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Topographical drawings must indicate all existing and new control points.</w:t>
            </w:r>
          </w:p>
          <w:p w14:paraId="69DFC392"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 xml:space="preserve">Provide documents in DWG, DXF, Land XML, PDF, pts, las </w:t>
            </w:r>
            <w:proofErr w:type="spellStart"/>
            <w:r w:rsidRPr="0045163B">
              <w:rPr>
                <w:rFonts w:ascii="Arial" w:eastAsia="Arial" w:hAnsi="Arial" w:cs="Arial"/>
                <w:sz w:val="22"/>
                <w:szCs w:val="22"/>
                <w:lang w:val="en-US"/>
              </w:rPr>
              <w:t>xls</w:t>
            </w:r>
            <w:proofErr w:type="spellEnd"/>
            <w:r w:rsidRPr="0045163B">
              <w:rPr>
                <w:rFonts w:ascii="Arial" w:eastAsia="Arial" w:hAnsi="Arial" w:cs="Arial"/>
                <w:sz w:val="22"/>
                <w:szCs w:val="22"/>
                <w:lang w:val="en-US"/>
              </w:rPr>
              <w:t>, txt, Rinex, GSI or other similar format.</w:t>
            </w:r>
          </w:p>
          <w:p w14:paraId="461B81B7" w14:textId="0A108232" w:rsidR="0055261E" w:rsidRPr="007C17CE" w:rsidRDefault="008B149D" w:rsidP="00925080">
            <w:pPr>
              <w:widowControl/>
              <w:numPr>
                <w:ilvl w:val="0"/>
                <w:numId w:val="26"/>
              </w:numPr>
              <w:jc w:val="both"/>
              <w:rPr>
                <w:rFonts w:ascii="Arial" w:eastAsia="Arial" w:hAnsi="Arial" w:cs="Arial"/>
                <w:sz w:val="22"/>
                <w:szCs w:val="22"/>
                <w:lang w:val="en-US"/>
              </w:rPr>
            </w:pPr>
            <w:r w:rsidRPr="007C17CE">
              <w:rPr>
                <w:rFonts w:ascii="Arial" w:eastAsia="Arial" w:hAnsi="Arial" w:cs="Arial"/>
                <w:sz w:val="22"/>
                <w:szCs w:val="22"/>
                <w:lang w:val="en-US"/>
              </w:rPr>
              <w:t xml:space="preserve">Use certified equipment that has been calibrated at least 24 months ago, or more frequently if recommended by the manufacturer. </w:t>
            </w:r>
          </w:p>
          <w:p w14:paraId="65AE0A49" w14:textId="365F6B0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11.2.9.3. The supplier must carry out geodetic surveys to the extent necessary for railways (with connected stations and transit loops), bridges and other structures related to them, tracks and intersections through trunk and service tracks, ecological canals, viaducts, platforms, crossings, culverts, ditches, for the design and construction of engineering networks and other structures specified in the Rail Baltica Design Guidelines, by the owners of the structures, as provided in the construction permits, and in the design conditions issued by other third parties.</w:t>
            </w:r>
          </w:p>
          <w:p w14:paraId="3FDF1BFE" w14:textId="001A8D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11.2.9.4. The supplier is obliged to design, build and measure the geodetic network (at least 3 points for the object) and ground control points (GCP) when using aerial survey, which would remain under the topographical zone along the Rail Baltica railway line and would additionally extend 200 m to both sides of the designed section. In order to harmonize the measurement area with the adjacent sections of the Rail Baltica railway line, extend the points of the geodetic network of the Rail Baltica project by 200 m on both sides of the designed section and anchor them with concrete foundations, and harmonize them with the designers of the adjacent sections.</w:t>
            </w:r>
          </w:p>
          <w:p w14:paraId="518CB9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11.2.9.5. Geodetic network points are stored in such a way that they are safe until the acceptance of the railway structure (at least 10 years). For each point, the Supplier draws up a deed indicating the exact location, description and owner of the land.</w:t>
            </w:r>
          </w:p>
          <w:p w14:paraId="52E56223" w14:textId="77777777" w:rsidR="0055261E" w:rsidRPr="0045163B" w:rsidRDefault="0055261E" w:rsidP="0055261E">
            <w:pPr>
              <w:jc w:val="both"/>
              <w:rPr>
                <w:rFonts w:ascii="Arial" w:eastAsia="Arial" w:hAnsi="Arial" w:cs="Arial"/>
                <w:sz w:val="22"/>
                <w:szCs w:val="22"/>
                <w:lang w:val="en-US"/>
              </w:rPr>
            </w:pPr>
          </w:p>
          <w:p w14:paraId="58C7C1D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11.2.10. The supplier must prepare a railway road infrastructure scheme (RIS) (railway track scheme), taking into account the principles of railway operation and the requirements of the Rail Baltica Design Guidelines. The prepared scheme must be approved by the Customer and the Supplier will have to rely on it when designing railway tracks.</w:t>
            </w:r>
          </w:p>
          <w:p w14:paraId="07547A01" w14:textId="77777777" w:rsidR="0055261E" w:rsidRPr="0045163B" w:rsidRDefault="0055261E" w:rsidP="0055261E">
            <w:pPr>
              <w:spacing w:line="276" w:lineRule="auto"/>
              <w:jc w:val="both"/>
              <w:rPr>
                <w:rFonts w:ascii="Arial" w:eastAsia="Arial" w:hAnsi="Arial" w:cs="Arial"/>
                <w:sz w:val="22"/>
                <w:szCs w:val="22"/>
                <w:lang w:val="en-US"/>
              </w:rPr>
            </w:pPr>
          </w:p>
          <w:p w14:paraId="07459315" w14:textId="44998A5F" w:rsidR="0055261E" w:rsidRPr="0045163B" w:rsidRDefault="0055261E" w:rsidP="00700C03">
            <w:pPr>
              <w:jc w:val="both"/>
              <w:rPr>
                <w:rFonts w:ascii="Arial" w:eastAsia="Arial" w:hAnsi="Arial" w:cs="Arial"/>
                <w:sz w:val="22"/>
                <w:szCs w:val="22"/>
                <w:lang w:val="en-US"/>
              </w:rPr>
            </w:pPr>
            <w:r w:rsidRPr="0045163B">
              <w:rPr>
                <w:rFonts w:ascii="Arial" w:eastAsia="Arial" w:hAnsi="Arial" w:cs="Arial"/>
                <w:sz w:val="22"/>
                <w:szCs w:val="22"/>
                <w:lang w:val="en-US"/>
              </w:rPr>
              <w:t xml:space="preserve">11.2.11. </w:t>
            </w:r>
            <w:r w:rsidR="006C6F47" w:rsidRPr="0045163B">
              <w:rPr>
                <w:rFonts w:ascii="Arial" w:eastAsia="Arial" w:hAnsi="Arial" w:cs="Arial"/>
                <w:sz w:val="22"/>
                <w:szCs w:val="22"/>
                <w:lang w:val="en-US"/>
              </w:rPr>
              <w:t>In the preparation of the design solutions, the Supplier shall assess, propose and foresee the construction of the structures to be designed in the project in phases and the possibility to design in the future to the extent foreseen in the Specific Plan of the European Standard Railway Line Kaunas-Lithuania-Latvia Border.</w:t>
            </w:r>
            <w:r w:rsidR="00700C03" w:rsidRPr="0045163B">
              <w:rPr>
                <w:rFonts w:ascii="Arial" w:eastAsia="Arial" w:hAnsi="Arial" w:cs="Arial"/>
                <w:sz w:val="22"/>
                <w:szCs w:val="22"/>
                <w:lang w:val="en-US"/>
              </w:rPr>
              <w:t xml:space="preserve"> </w:t>
            </w:r>
            <w:r w:rsidRPr="0045163B">
              <w:rPr>
                <w:rFonts w:ascii="Arial" w:eastAsia="Arial" w:hAnsi="Arial" w:cs="Arial"/>
                <w:sz w:val="22"/>
                <w:szCs w:val="22"/>
                <w:lang w:val="en-US"/>
              </w:rPr>
              <w:t>The phasing of the object’s construction must be reflected in the project solutions and the documents authorizing the construction. The Supplier must coordinate the number of construction stages and their limits with the Builder when preparing project solutions.</w:t>
            </w:r>
          </w:p>
        </w:tc>
      </w:tr>
      <w:tr w:rsidR="0055261E" w:rsidRPr="0045163B" w14:paraId="4621D0B8"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7F28F" w14:textId="77777777" w:rsidR="0055261E" w:rsidRPr="0045163B" w:rsidRDefault="0055261E" w:rsidP="0055261E">
            <w:pPr>
              <w:spacing w:line="276" w:lineRule="auto"/>
              <w:jc w:val="both"/>
              <w:rPr>
                <w:rFonts w:ascii="Arial" w:eastAsia="Arial" w:hAnsi="Arial" w:cs="Arial"/>
                <w:sz w:val="22"/>
                <w:szCs w:val="22"/>
                <w:lang w:val="en-US"/>
              </w:rPr>
            </w:pPr>
            <w:bookmarkStart w:id="2" w:name="_heading=h.2et92p0" w:colFirst="0" w:colLast="0"/>
            <w:bookmarkEnd w:id="2"/>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BCA97"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11.3. Other services related to design services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46A55" w14:textId="32956AA7"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 Additional services entrusted to the Supplier: ordering and receiving documents for engineering topographical and engineering geological surveys (performed in accordance with clauses 12.15 and 12.16, conducting construction surveys of existing structures (if necessary); translate the project documentation into English, </w:t>
            </w:r>
            <w:r w:rsidRPr="0045163B">
              <w:rPr>
                <w:rFonts w:ascii="Arial" w:eastAsia="Arial" w:hAnsi="Arial" w:cs="Arial"/>
                <w:color w:val="000000" w:themeColor="text1"/>
                <w:sz w:val="22"/>
                <w:szCs w:val="22"/>
                <w:lang w:val="en-US"/>
              </w:rPr>
              <w:t>prepare a document on the determination of the significance of the impact on Natura 2000 areas and obtain conclusions from the State Protected Areas Authority (if necessary), prepare a screening for the environmental impact assessment and obtain a conclusion from the responsible authority (if necessary), prepare environmental impact assessment  and obtain a decision (if necessary).`</w:t>
            </w:r>
            <w:r w:rsidR="00EB374B" w:rsidRPr="0045163B">
              <w:rPr>
                <w:rFonts w:ascii="Arial" w:eastAsia="Arial" w:hAnsi="Arial" w:cs="Arial"/>
                <w:color w:val="FF0000"/>
                <w:sz w:val="22"/>
                <w:szCs w:val="22"/>
                <w:lang w:val="en-US"/>
              </w:rPr>
              <w:t xml:space="preserve"> </w:t>
            </w:r>
            <w:r w:rsidR="00EB374B" w:rsidRPr="007C17CE">
              <w:rPr>
                <w:rFonts w:ascii="Arial" w:eastAsia="Arial" w:hAnsi="Arial" w:cs="Arial"/>
                <w:sz w:val="22"/>
                <w:szCs w:val="22"/>
                <w:lang w:val="en-US"/>
              </w:rPr>
              <w:t>In the case of an obligation to prepare an EIA screening report and obtain a conclusion from the competent authority (if necessary) and/or to prepare an EIA report and obtain a decision from the competent authority (if necessary), the above work will be remunerated in accordance with the Price and Fee Schedule of the Proposal and a time period for the completion of the procedures (3 months for the preparation of the EIA screening report and obtaining the conclusion, 8 months for the preparation of the EIA report and obtaining the decision).</w:t>
            </w:r>
          </w:p>
          <w:p w14:paraId="1A4E0465"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be obliged to provide the necessary information to the published (notified) and/or appointed body performing the inspection of the European Community and/or the Republic of Lithuania.</w:t>
            </w:r>
          </w:p>
          <w:p w14:paraId="36E92508"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be obliged to refine the project according to the comments received by the notified (notified) and/or designated body performing the inspection(s) of the European Community and/or the Republic of Lithuania.</w:t>
            </w:r>
          </w:p>
          <w:p w14:paraId="4D6DB7A0"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have to obtain positive findings from road safety audits (if applicable)</w:t>
            </w:r>
          </w:p>
          <w:p w14:paraId="11EEBDDB"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have to go through the necessary procedures and obtain a construction permit. All mandatory additional project documentation costs (e.g. fees paid for uploading documentation to the “Gate of Territorial Planning and Construction” electronic site, costs of issuing ESO conditions) are paid by the Service Provider. The draft of the request for a document allowing construction must be agreed with the Customer before the request is submitted.</w:t>
            </w:r>
          </w:p>
          <w:p w14:paraId="6DFB9E20" w14:textId="77777777" w:rsidR="0055261E" w:rsidRPr="0045163B" w:rsidRDefault="0055261E" w:rsidP="0055261E">
            <w:pPr>
              <w:jc w:val="both"/>
              <w:rPr>
                <w:rFonts w:ascii="Arial" w:eastAsia="Arial" w:hAnsi="Arial" w:cs="Arial"/>
                <w:lang w:val="en-US"/>
              </w:rPr>
            </w:pPr>
          </w:p>
          <w:p w14:paraId="6D76AD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11.3.2. The Supplier, 30 calendar days before the submission of the Project for expertise, provides the Customer with the Project information necessary for the procurement of Project expertise services.</w:t>
            </w:r>
          </w:p>
          <w:p w14:paraId="32B4DA78" w14:textId="0DC27A5E"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submits the prepared design proposals for the Customer's approval. After receiving the Customer's approval, the Supplier submits an application for a Construction Permit Document and carries out the necessary procedures to obtain a Construction Permit Document. All mandatory additional project documentation costs (e.g. fees paid for uploading documentation to </w:t>
            </w:r>
            <w:proofErr w:type="spellStart"/>
            <w:r w:rsidRPr="0045163B">
              <w:rPr>
                <w:rFonts w:ascii="Arial" w:eastAsia="Arial" w:hAnsi="Arial" w:cs="Arial"/>
                <w:sz w:val="22"/>
                <w:szCs w:val="22"/>
                <w:lang w:val="en-US"/>
              </w:rPr>
              <w:t>Infostatyba</w:t>
            </w:r>
            <w:proofErr w:type="spellEnd"/>
            <w:r w:rsidRPr="0045163B">
              <w:rPr>
                <w:rFonts w:ascii="Arial" w:eastAsia="Arial" w:hAnsi="Arial" w:cs="Arial"/>
                <w:sz w:val="22"/>
                <w:szCs w:val="22"/>
                <w:lang w:val="en-US"/>
              </w:rPr>
              <w:t>, costs of issuing ESO conditions) are paid by the Service Provider. The project of the request for a document allowing construction must be coordinated with the Customer before the request is submitted.</w:t>
            </w:r>
          </w:p>
          <w:p w14:paraId="60A3F5F5" w14:textId="3FEADA27" w:rsidR="0055261E" w:rsidRPr="0045163B" w:rsidRDefault="0055261E" w:rsidP="0055261E">
            <w:pPr>
              <w:jc w:val="both"/>
              <w:rPr>
                <w:rFonts w:ascii="Arial" w:eastAsia="Arial" w:hAnsi="Arial" w:cs="Arial"/>
                <w:sz w:val="22"/>
                <w:szCs w:val="22"/>
                <w:lang w:val="en-US"/>
              </w:rPr>
            </w:pPr>
          </w:p>
          <w:p w14:paraId="1D0A37C4" w14:textId="58AC309A"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After receiving a positive evaluation of the Structural Design Expertise, submit the Master detailed technical design to the Customer for approval.</w:t>
            </w:r>
          </w:p>
          <w:p w14:paraId="5643BE61" w14:textId="04E6EFC3" w:rsidR="0055261E" w:rsidRPr="0045163B" w:rsidRDefault="0055261E" w:rsidP="0055261E">
            <w:pPr>
              <w:jc w:val="both"/>
              <w:rPr>
                <w:rFonts w:ascii="Arial" w:eastAsia="Arial" w:hAnsi="Arial" w:cs="Arial"/>
                <w:sz w:val="22"/>
                <w:szCs w:val="22"/>
                <w:lang w:val="en-US"/>
              </w:rPr>
            </w:pPr>
          </w:p>
          <w:p w14:paraId="6F6D851D" w14:textId="545DD2F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During the independent expert evaluation of design solutions organized by the Customer, the supplier must submit the completed project documentation to the Customer in the stages of project proposals and Master detailed technical design to perform these services, and after coordination with the Customer, the supplier must correct the design solutions according to the comments made during the independent expert evaluation.</w:t>
            </w:r>
          </w:p>
          <w:p w14:paraId="70DF9E56" w14:textId="77777777" w:rsidR="0055261E" w:rsidRPr="0045163B" w:rsidRDefault="0055261E" w:rsidP="0055261E">
            <w:pPr>
              <w:jc w:val="both"/>
              <w:rPr>
                <w:rFonts w:ascii="Arial" w:eastAsia="Arial" w:hAnsi="Arial" w:cs="Arial"/>
                <w:sz w:val="22"/>
                <w:szCs w:val="22"/>
                <w:lang w:val="en-US"/>
              </w:rPr>
            </w:pPr>
          </w:p>
          <w:p w14:paraId="41E4920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11.3.3. The supplier will have to examine and/or detail all solutions and impact aspects that will be specified in the EIA report.</w:t>
            </w:r>
          </w:p>
          <w:p w14:paraId="44E871BC" w14:textId="77777777" w:rsidR="0055261E" w:rsidRPr="0045163B" w:rsidRDefault="0055261E" w:rsidP="0055261E">
            <w:pPr>
              <w:jc w:val="both"/>
              <w:rPr>
                <w:rFonts w:ascii="Arial" w:eastAsia="Arial" w:hAnsi="Arial" w:cs="Arial"/>
                <w:sz w:val="22"/>
                <w:szCs w:val="22"/>
                <w:lang w:val="en-US"/>
              </w:rPr>
            </w:pPr>
          </w:p>
          <w:p w14:paraId="5FE8E14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11.3.4. The supplier is authorized to obtain all necessary agreements, consents and conditions necessary for the preparation and implementation of the project. The designer will have to apply to the Customer for authorization regarding connection conditions, a document authorizing construction (as needed) and obtaining other necessary data and documents to carry out design work and procedures.</w:t>
            </w:r>
          </w:p>
          <w:p w14:paraId="144A5D23" w14:textId="77777777" w:rsidR="0055261E" w:rsidRPr="0045163B" w:rsidRDefault="0055261E" w:rsidP="0055261E">
            <w:pPr>
              <w:jc w:val="both"/>
              <w:rPr>
                <w:rFonts w:ascii="Arial" w:eastAsia="Arial" w:hAnsi="Arial" w:cs="Arial"/>
                <w:sz w:val="22"/>
                <w:szCs w:val="22"/>
                <w:lang w:val="en-US"/>
              </w:rPr>
            </w:pPr>
          </w:p>
          <w:p w14:paraId="535FEB4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11.3.5. During the execution of the contract, the Designer must submit to the Customer (in writing or other means of communication) regularly, at least once a month, to review the completed works and ensure whether the works are carried out in accordance with the Technical Assignment and the terms set in the contract. The Service Provider must:</w:t>
            </w:r>
          </w:p>
          <w:p w14:paraId="08B51111"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Submit a document (description of completed works), which must contain information about the reporting period, the actual works performed and a quantitative comparison of the completed works with the previous (if any) period in a specific, clear and structured manner. Submit information in electronic form;</w:t>
            </w:r>
          </w:p>
          <w:p w14:paraId="3B24F9DE"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Submit other documentation and materials necessary for proof of the work performed;</w:t>
            </w:r>
          </w:p>
          <w:p w14:paraId="0B697D08"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Coordinate the form and content of the submitted documentation and information with the Customer;</w:t>
            </w:r>
          </w:p>
          <w:p w14:paraId="2F9CE023"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Organize the presentation of solutions (completed works) in the format, date and time agreed with the Customer.</w:t>
            </w:r>
          </w:p>
          <w:p w14:paraId="014CC1D8" w14:textId="77777777" w:rsidR="0055261E" w:rsidRPr="0045163B" w:rsidRDefault="0055261E" w:rsidP="00925080">
            <w:pPr>
              <w:widowControl/>
              <w:numPr>
                <w:ilvl w:val="0"/>
                <w:numId w:val="1"/>
              </w:numPr>
              <w:pBdr>
                <w:top w:val="nil"/>
                <w:left w:val="nil"/>
                <w:bottom w:val="nil"/>
                <w:right w:val="nil"/>
                <w:between w:val="nil"/>
              </w:pBd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Meetings must be recorded, the content of the minutes must be agreed with the Customer, and the Designer will be responsible for the preparation and coordination of these minutes.</w:t>
            </w:r>
          </w:p>
          <w:p w14:paraId="4EA0985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11.3.6. In difficult conditions, when it will not be possible to ensure the technical parameters specified in the Rail Baltica Design Guidelines when designing structures, the service provider must follow the procedures specified in the Rail Baltica Design Guidelines RBDG-MAN-011-0103, prepare all the necessary documentation, obtain all the consents of the coordinating parties and ensure implementation of the requirements of these procedures.</w:t>
            </w:r>
          </w:p>
          <w:p w14:paraId="738610EB" w14:textId="77777777" w:rsidR="0055261E" w:rsidRPr="0045163B" w:rsidRDefault="0055261E" w:rsidP="0055261E">
            <w:pPr>
              <w:spacing w:line="276" w:lineRule="auto"/>
              <w:jc w:val="both"/>
              <w:rPr>
                <w:rFonts w:ascii="Arial" w:eastAsia="Arial" w:hAnsi="Arial" w:cs="Arial"/>
                <w:sz w:val="22"/>
                <w:szCs w:val="22"/>
                <w:lang w:val="en-US"/>
              </w:rPr>
            </w:pPr>
          </w:p>
          <w:p w14:paraId="23517433" w14:textId="452AF469"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11.3.7. With the inception report, the supplier must submit a project implementation plan (description of the duties of the staff responsible for the Contract, execution and control of the services, mutual responsibility scheme, staff contact list and other relevant information); Quality </w:t>
            </w:r>
            <w:proofErr w:type="spellStart"/>
            <w:r w:rsidRPr="0045163B">
              <w:rPr>
                <w:rFonts w:ascii="Arial" w:eastAsia="Arial" w:hAnsi="Arial" w:cs="Arial"/>
                <w:sz w:val="22"/>
                <w:szCs w:val="22"/>
                <w:lang w:val="en-US"/>
              </w:rPr>
              <w:t>Assuranse</w:t>
            </w:r>
            <w:proofErr w:type="spellEnd"/>
            <w:r w:rsidRPr="0045163B">
              <w:rPr>
                <w:rFonts w:ascii="Arial" w:eastAsia="Arial" w:hAnsi="Arial" w:cs="Arial"/>
                <w:sz w:val="22"/>
                <w:szCs w:val="22"/>
                <w:lang w:val="en-US"/>
              </w:rPr>
              <w:t xml:space="preserve"> and Quality Control Plan; the schedule of service provision (detailing, but not changing the deadlines for the completion of specific stages set in the Agreement, and indicating the executors responsible for each work, indicating the names of subcontractor companies (if used), information about concluded subcontracts, etc.); risk management plan; prepared BEP (BIM execution plan) on the basis of the pre-BEP provided in the proposal Annex in full implementation of the Customer’s information requirements.</w:t>
            </w:r>
          </w:p>
          <w:p w14:paraId="1553F16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BIM model acceptance-transfer works are carried out together with the acceptance-transfer works of the design stages.</w:t>
            </w:r>
          </w:p>
          <w:p w14:paraId="637805D2" w14:textId="77777777" w:rsidR="0055261E" w:rsidRPr="0045163B" w:rsidRDefault="0055261E" w:rsidP="0055261E">
            <w:pPr>
              <w:jc w:val="both"/>
              <w:rPr>
                <w:rFonts w:ascii="Arial" w:eastAsia="Arial" w:hAnsi="Arial" w:cs="Arial"/>
                <w:sz w:val="22"/>
                <w:szCs w:val="22"/>
                <w:lang w:val="en-US"/>
              </w:rPr>
            </w:pPr>
          </w:p>
          <w:p w14:paraId="43F0F36E"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11.3.8. Compliance assessment</w:t>
            </w:r>
          </w:p>
          <w:p w14:paraId="0A225E8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 In order to ensure that a permit is issued to start operation of the Rail Baltica railway system in the European Union, the Supplier must demonstrate compliance with the applicable safety and interoperability requirements set out in EU directives (Directive (EU) 2016/798 of the European Parliament and of the Council of 11 May 2016 on safety of railways, Directive (EU) 2016/797 of the European Parliament and of the Council of 11 May 2016 on the interoperability of the railway system in the European Union, Commission Regulation (EU) No 1299/2014 of 18 November 2014 on technical interoperability specifications of the infrastructure subsystem of the European Union railway system, Commission Implementing Regulation (EU) No 402/2013 of 30 April 2013 on the common safety method for risk evaluation and assessment).</w:t>
            </w:r>
          </w:p>
          <w:p w14:paraId="6E4F9F68" w14:textId="4EDD1A79" w:rsidR="0055261E" w:rsidRPr="0045163B" w:rsidRDefault="0055261E" w:rsidP="0055261E">
            <w:pPr>
              <w:spacing w:line="257" w:lineRule="auto"/>
              <w:jc w:val="both"/>
              <w:rPr>
                <w:rFonts w:ascii="Arial" w:eastAsia="Arial" w:hAnsi="Arial" w:cs="Arial"/>
                <w:sz w:val="22"/>
                <w:szCs w:val="22"/>
                <w:lang w:val="en-US"/>
              </w:rPr>
            </w:pPr>
            <w:r w:rsidRPr="0045163B">
              <w:rPr>
                <w:rFonts w:ascii="Arial" w:eastAsia="Arial" w:hAnsi="Arial" w:cs="Arial"/>
                <w:sz w:val="22"/>
                <w:szCs w:val="22"/>
                <w:lang w:val="en-US"/>
              </w:rPr>
              <w:t>The supplier shall demonstrate conformity by providing design documents, test results, simulations, inspection results, certificates, declarations and other evidence of conformity. All documents submitted by the Supplier shall be submitted with traceability and completeness of answers. The Supplier shall provide any additional graphical material/documents or other information as required by the Assessment Body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 Notified Body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and the EU Safety and Interoperability Directives. Deliverables for Assessment Body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and Notified Body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shall be developed and submitted by following D0007-SEA-XX-XX-INS_QA-R-00001.</w:t>
            </w:r>
          </w:p>
          <w:p w14:paraId="62E4AE8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11.3.8.2. Compliance assessment of subsystems and interoperability components will be carried out in accordance with </w:t>
            </w:r>
            <w:r w:rsidRPr="0045163B">
              <w:rPr>
                <w:rFonts w:ascii="Arial" w:eastAsia="Arial" w:hAnsi="Arial" w:cs="Arial"/>
                <w:sz w:val="22"/>
                <w:szCs w:val="22"/>
                <w:lang w:val="en-US"/>
              </w:rPr>
              <w:lastRenderedPageBreak/>
              <w:t>Directive 2016/797/EU in order to ensure the interoperability of the Rail Baltica Global project and the European railway network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assessment). </w:t>
            </w:r>
            <w:proofErr w:type="spellStart"/>
            <w:r w:rsidRPr="0045163B">
              <w:rPr>
                <w:rFonts w:ascii="Arial" w:eastAsia="Arial" w:hAnsi="Arial" w:cs="Arial"/>
                <w:sz w:val="22"/>
                <w:szCs w:val="22"/>
                <w:lang w:val="en-US"/>
              </w:rPr>
              <w:t>NoBo’s</w:t>
            </w:r>
            <w:proofErr w:type="spellEnd"/>
            <w:r w:rsidRPr="0045163B">
              <w:rPr>
                <w:rFonts w:ascii="Arial" w:eastAsia="Arial" w:hAnsi="Arial" w:cs="Arial"/>
                <w:sz w:val="22"/>
                <w:szCs w:val="22"/>
                <w:lang w:val="en-US"/>
              </w:rPr>
              <w:t xml:space="preserve"> assessment begins with the Services and ends with the formal certification of each individual completed rail subsystem.</w:t>
            </w:r>
          </w:p>
          <w:p w14:paraId="133414EC" w14:textId="05B9A11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11.3.8.3. The customer must organize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evaluation services. The Supplier cooperates with the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evaluation service provider and the Customer and provides all the necessary materials according to the requirement submitted by the Customer (see Annex 23).</w:t>
            </w:r>
          </w:p>
          <w:p w14:paraId="513654C2" w14:textId="07C8AC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11.3.8.4. The customer must perform an administrative review of the submitted material within 12 (twelve) working days. During the review, the quality of the submitted documents is assessed, as described in the Instruction “RB Rail Deliverables Information traceability quality requirements for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xml:space="preserve">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(see Annex 23). The supplier provides any additional graphic material and/or documents or other information if it is necessary according to the requirements of the Assessment Body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and the Notified Body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w:t>
            </w:r>
          </w:p>
          <w:p w14:paraId="56DC4D1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11.3.8.5. The supplier must appoint a competent specialist for the implementation of the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xml:space="preserve"> /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requirements of the Project, who would be responsible for the implementation of the applicable requirements and continuous control during the execution of the Agreement.</w:t>
            </w:r>
          </w:p>
          <w:p w14:paraId="0B1327F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11.3.8.6. All DPS documentation related to the rail portion of the project shall only be forwarded to the compliance assessor after the Customer’s administrative review has been completed and the submitted documents have been accepted.</w:t>
            </w:r>
          </w:p>
          <w:p w14:paraId="05ABD8E5" w14:textId="79FDA96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11.3.8.7. After receiving the documentation, the compliance assessor assesses the quality and traceability of the information. The compliance assessor has the right to reject submitted documents if the requirements described in the instruction “RB Rail Deliverables Information traceability quality requirements for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(see Annex 23) are not met, although the package has passed the administrative review and has been accepted for further submission to the compliance assessor.</w:t>
            </w:r>
          </w:p>
          <w:p w14:paraId="2EF5ADDD" w14:textId="3E6F217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11.3.8.8. Within 22 (twenty-two) working days, the compliance assessor reviews the submitted documentation and provides feedback on the submitted evidence. Feedback is provided using the Open List of Items (OIL) for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xml:space="preserve"> and the Matrix of Clauses (</w:t>
            </w:r>
            <w:proofErr w:type="spellStart"/>
            <w:r w:rsidRPr="0045163B">
              <w:rPr>
                <w:rFonts w:ascii="Arial" w:eastAsia="Arial" w:hAnsi="Arial" w:cs="Arial"/>
                <w:sz w:val="22"/>
                <w:szCs w:val="22"/>
                <w:lang w:val="en-US"/>
              </w:rPr>
              <w:t>CbC</w:t>
            </w:r>
            <w:proofErr w:type="spellEnd"/>
            <w:r w:rsidRPr="0045163B">
              <w:rPr>
                <w:rFonts w:ascii="Arial" w:eastAsia="Arial" w:hAnsi="Arial" w:cs="Arial"/>
                <w:sz w:val="22"/>
                <w:szCs w:val="22"/>
                <w:lang w:val="en-US"/>
              </w:rPr>
              <w:t xml:space="preserve">) for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as described in the manual “RB Rail Deliverables Information traceability quality requirements for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(see Annex 23).</w:t>
            </w:r>
          </w:p>
          <w:p w14:paraId="78B82FD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11.3.8.9. During the entire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evaluation, within 10 (ten) working days after receiving the comments/comments from the evaluator, the supplier must change the project documentation or provide additional information in response to the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evaluator’s comments. The supplier must respond in detail (and provide evidence) to the table for each item in the case of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and to the list of open items in the case of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and the status of all items must be “Closed” / “Compliant”.</w:t>
            </w:r>
          </w:p>
          <w:p w14:paraId="5A027E4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11.3.8.10. If project solutions are changed during the provision of services, the Supplier must ensure that the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compliance assessment of the latest version of the project documentation is carried out. The supplier should provide up-to-date design documentation with explanations of updates and changes.</w:t>
            </w:r>
          </w:p>
          <w:p w14:paraId="51C60A81" w14:textId="0F68DCF8"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11.3.8.11. The supplier shall ensure that </w:t>
            </w:r>
            <w:proofErr w:type="spellStart"/>
            <w:r w:rsidRPr="0045163B">
              <w:rPr>
                <w:rFonts w:ascii="Arial" w:eastAsia="Arial" w:hAnsi="Arial" w:cs="Arial"/>
                <w:sz w:val="22"/>
                <w:szCs w:val="22"/>
                <w:lang w:val="en-US"/>
              </w:rPr>
              <w:t>DeBo</w:t>
            </w:r>
            <w:proofErr w:type="spellEnd"/>
            <w:r w:rsidRPr="0045163B">
              <w:rPr>
                <w:rFonts w:ascii="Arial" w:eastAsia="Arial" w:hAnsi="Arial" w:cs="Arial"/>
                <w:sz w:val="22"/>
                <w:szCs w:val="22"/>
                <w:lang w:val="en-US"/>
              </w:rPr>
              <w:t xml:space="preserve"> assessments are carried out in the event that the national safety authority concludes that </w:t>
            </w:r>
            <w:proofErr w:type="spellStart"/>
            <w:r w:rsidRPr="0045163B">
              <w:rPr>
                <w:rFonts w:ascii="Arial" w:eastAsia="Arial" w:hAnsi="Arial" w:cs="Arial"/>
                <w:sz w:val="22"/>
                <w:szCs w:val="22"/>
                <w:lang w:val="en-US"/>
              </w:rPr>
              <w:t>authorisation</w:t>
            </w:r>
            <w:proofErr w:type="spellEnd"/>
            <w:r w:rsidRPr="0045163B">
              <w:rPr>
                <w:rFonts w:ascii="Arial" w:eastAsia="Arial" w:hAnsi="Arial" w:cs="Arial"/>
                <w:sz w:val="22"/>
                <w:szCs w:val="22"/>
                <w:lang w:val="en-US"/>
              </w:rPr>
              <w:t xml:space="preserve"> for placing in service of the fixed railway subsystems being renewed and/or upgraded is required. The Supplier is responsible for the </w:t>
            </w:r>
            <w:proofErr w:type="spellStart"/>
            <w:r w:rsidRPr="0045163B">
              <w:rPr>
                <w:rFonts w:ascii="Arial" w:eastAsia="Arial" w:hAnsi="Arial" w:cs="Arial"/>
                <w:sz w:val="22"/>
                <w:szCs w:val="22"/>
                <w:lang w:val="en-US"/>
              </w:rPr>
              <w:t>DeBo</w:t>
            </w:r>
            <w:proofErr w:type="spellEnd"/>
            <w:r w:rsidRPr="0045163B">
              <w:rPr>
                <w:rFonts w:ascii="Arial" w:eastAsia="Arial" w:hAnsi="Arial" w:cs="Arial"/>
                <w:sz w:val="22"/>
                <w:szCs w:val="22"/>
                <w:lang w:val="en-US"/>
              </w:rPr>
              <w:t xml:space="preserve"> assessment.</w:t>
            </w:r>
          </w:p>
          <w:p w14:paraId="033B70B5" w14:textId="67AC97BD"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11.3.8.12. The Supplier shall have a dedicated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 xml:space="preserve">,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w:t>
            </w:r>
            <w:proofErr w:type="spellStart"/>
            <w:r w:rsidRPr="0045163B">
              <w:rPr>
                <w:rFonts w:ascii="Arial" w:eastAsia="Arial" w:hAnsi="Arial" w:cs="Arial"/>
                <w:sz w:val="22"/>
                <w:szCs w:val="22"/>
                <w:lang w:val="en-US"/>
              </w:rPr>
              <w:t>organisation</w:t>
            </w:r>
            <w:proofErr w:type="spellEnd"/>
            <w:r w:rsidRPr="0045163B">
              <w:rPr>
                <w:rFonts w:ascii="Arial" w:eastAsia="Arial" w:hAnsi="Arial" w:cs="Arial"/>
                <w:sz w:val="22"/>
                <w:szCs w:val="22"/>
                <w:lang w:val="en-US"/>
              </w:rPr>
              <w:t xml:space="preserve"> / railway engineering services / consultant / designer / contractor / infrastructure manager.</w:t>
            </w:r>
          </w:p>
          <w:p w14:paraId="08402B78" w14:textId="77777777" w:rsidR="00B90C19" w:rsidRPr="007C17CE" w:rsidRDefault="00B90C19" w:rsidP="00B90C19">
            <w:pPr>
              <w:jc w:val="both"/>
              <w:rPr>
                <w:rFonts w:ascii="Arial" w:eastAsia="Arial" w:hAnsi="Arial" w:cs="Arial"/>
                <w:sz w:val="22"/>
                <w:szCs w:val="22"/>
                <w:lang w:val="en-US"/>
              </w:rPr>
            </w:pPr>
            <w:r w:rsidRPr="007C17CE">
              <w:rPr>
                <w:rFonts w:ascii="Arial" w:eastAsia="Arial" w:hAnsi="Arial" w:cs="Arial"/>
                <w:sz w:val="22"/>
                <w:szCs w:val="22"/>
                <w:lang w:val="en-US"/>
              </w:rPr>
              <w:t xml:space="preserve">Before starting the </w:t>
            </w:r>
            <w:proofErr w:type="spellStart"/>
            <w:r w:rsidRPr="007C17CE">
              <w:rPr>
                <w:rFonts w:ascii="Arial" w:eastAsia="Arial" w:hAnsi="Arial" w:cs="Arial"/>
                <w:sz w:val="22"/>
                <w:szCs w:val="22"/>
                <w:lang w:val="en-US"/>
              </w:rPr>
              <w:t>AsBo</w:t>
            </w:r>
            <w:proofErr w:type="spellEnd"/>
            <w:r w:rsidRPr="007C17CE">
              <w:rPr>
                <w:rFonts w:ascii="Arial" w:eastAsia="Arial" w:hAnsi="Arial" w:cs="Arial"/>
                <w:sz w:val="22"/>
                <w:szCs w:val="22"/>
                <w:lang w:val="en-US"/>
              </w:rPr>
              <w:t>/</w:t>
            </w:r>
            <w:proofErr w:type="spellStart"/>
            <w:r w:rsidRPr="007C17CE">
              <w:rPr>
                <w:rFonts w:ascii="Arial" w:eastAsia="Arial" w:hAnsi="Arial" w:cs="Arial"/>
                <w:sz w:val="22"/>
                <w:szCs w:val="22"/>
                <w:lang w:val="en-US"/>
              </w:rPr>
              <w:t>NoBo</w:t>
            </w:r>
            <w:proofErr w:type="spellEnd"/>
            <w:r w:rsidRPr="007C17CE">
              <w:rPr>
                <w:rFonts w:ascii="Arial" w:eastAsia="Arial" w:hAnsi="Arial" w:cs="Arial"/>
                <w:sz w:val="22"/>
                <w:szCs w:val="22"/>
                <w:lang w:val="en-US"/>
              </w:rPr>
              <w:t xml:space="preserve"> evaluation of the technical documentation, the Contractor shall prepare and submit for approval to the Employer: </w:t>
            </w:r>
          </w:p>
          <w:p w14:paraId="4CD7A776" w14:textId="05FB5771" w:rsidR="00B90C19" w:rsidRPr="007C17CE" w:rsidRDefault="00B90C19" w:rsidP="0055261E">
            <w:pPr>
              <w:jc w:val="both"/>
              <w:rPr>
                <w:rFonts w:ascii="Arial" w:eastAsia="Arial" w:hAnsi="Arial" w:cs="Arial"/>
                <w:sz w:val="22"/>
                <w:szCs w:val="22"/>
                <w:lang w:val="en-US"/>
              </w:rPr>
            </w:pPr>
            <w:r w:rsidRPr="007C17CE">
              <w:rPr>
                <w:rFonts w:ascii="Arial" w:eastAsia="Arial" w:hAnsi="Arial" w:cs="Arial"/>
                <w:sz w:val="22"/>
                <w:szCs w:val="22"/>
                <w:lang w:val="en-US"/>
              </w:rPr>
              <w:t>Project Safety Plan;</w:t>
            </w:r>
          </w:p>
          <w:p w14:paraId="116283C1" w14:textId="77777777" w:rsidR="008276A0" w:rsidRPr="0045163B" w:rsidRDefault="0055261E" w:rsidP="008276A0">
            <w:pPr>
              <w:jc w:val="both"/>
              <w:rPr>
                <w:rFonts w:ascii="Arial" w:eastAsia="Arial" w:hAnsi="Arial" w:cs="Arial"/>
                <w:sz w:val="22"/>
                <w:szCs w:val="22"/>
                <w:lang w:val="en-US"/>
              </w:rPr>
            </w:pPr>
            <w:r w:rsidRPr="0045163B">
              <w:rPr>
                <w:rFonts w:ascii="Arial" w:eastAsia="Arial" w:hAnsi="Arial" w:cs="Arial"/>
                <w:sz w:val="22"/>
                <w:szCs w:val="22"/>
                <w:lang w:val="en-US"/>
              </w:rPr>
              <w:t xml:space="preserve">11.3.8.13. </w:t>
            </w:r>
            <w:r w:rsidR="008276A0" w:rsidRPr="0045163B">
              <w:rPr>
                <w:rFonts w:ascii="Arial" w:eastAsia="Arial" w:hAnsi="Arial" w:cs="Arial"/>
                <w:sz w:val="22"/>
                <w:szCs w:val="22"/>
                <w:lang w:val="en-US"/>
              </w:rPr>
              <w:t xml:space="preserve">The Supplier shall have a dedicated </w:t>
            </w:r>
            <w:proofErr w:type="spellStart"/>
            <w:r w:rsidR="008276A0" w:rsidRPr="0045163B">
              <w:rPr>
                <w:rFonts w:ascii="Arial" w:eastAsia="Arial" w:hAnsi="Arial" w:cs="Arial"/>
                <w:sz w:val="22"/>
                <w:szCs w:val="22"/>
                <w:lang w:val="en-US"/>
              </w:rPr>
              <w:t>AsBo</w:t>
            </w:r>
            <w:proofErr w:type="spellEnd"/>
            <w:r w:rsidR="008276A0" w:rsidRPr="0045163B">
              <w:rPr>
                <w:rFonts w:ascii="Arial" w:eastAsia="Arial" w:hAnsi="Arial" w:cs="Arial"/>
                <w:sz w:val="22"/>
                <w:szCs w:val="22"/>
                <w:lang w:val="en-US"/>
              </w:rPr>
              <w:t xml:space="preserve">, </w:t>
            </w:r>
            <w:proofErr w:type="spellStart"/>
            <w:r w:rsidR="008276A0" w:rsidRPr="0045163B">
              <w:rPr>
                <w:rFonts w:ascii="Arial" w:eastAsia="Arial" w:hAnsi="Arial" w:cs="Arial"/>
                <w:sz w:val="22"/>
                <w:szCs w:val="22"/>
                <w:lang w:val="en-US"/>
              </w:rPr>
              <w:t>NoBo</w:t>
            </w:r>
            <w:proofErr w:type="spellEnd"/>
            <w:r w:rsidR="008276A0" w:rsidRPr="0045163B">
              <w:rPr>
                <w:rFonts w:ascii="Arial" w:eastAsia="Arial" w:hAnsi="Arial" w:cs="Arial"/>
                <w:sz w:val="22"/>
                <w:szCs w:val="22"/>
                <w:lang w:val="en-US"/>
              </w:rPr>
              <w:t xml:space="preserve">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w:t>
            </w:r>
            <w:proofErr w:type="spellStart"/>
            <w:r w:rsidR="008276A0" w:rsidRPr="0045163B">
              <w:rPr>
                <w:rFonts w:ascii="Arial" w:eastAsia="Arial" w:hAnsi="Arial" w:cs="Arial"/>
                <w:sz w:val="22"/>
                <w:szCs w:val="22"/>
                <w:lang w:val="en-US"/>
              </w:rPr>
              <w:t>organisation</w:t>
            </w:r>
            <w:proofErr w:type="spellEnd"/>
            <w:r w:rsidR="008276A0" w:rsidRPr="0045163B">
              <w:rPr>
                <w:rFonts w:ascii="Arial" w:eastAsia="Arial" w:hAnsi="Arial" w:cs="Arial"/>
                <w:sz w:val="22"/>
                <w:szCs w:val="22"/>
                <w:lang w:val="en-US"/>
              </w:rPr>
              <w:t xml:space="preserve"> / railway engineering services / consultant / designer / contractor / infrastructure manager.</w:t>
            </w:r>
          </w:p>
          <w:p w14:paraId="3279C8FD" w14:textId="0B65359E" w:rsidR="00794AE1" w:rsidRPr="0045163B" w:rsidRDefault="0055261E" w:rsidP="00794AE1">
            <w:pPr>
              <w:jc w:val="both"/>
              <w:rPr>
                <w:rFonts w:ascii="Arial" w:eastAsia="Arial" w:hAnsi="Arial" w:cs="Arial"/>
                <w:color w:val="FF0000"/>
                <w:sz w:val="22"/>
                <w:szCs w:val="22"/>
                <w:lang w:val="en-US"/>
              </w:rPr>
            </w:pPr>
            <w:r w:rsidRPr="0045163B">
              <w:rPr>
                <w:rFonts w:ascii="Arial" w:eastAsia="Arial" w:hAnsi="Arial" w:cs="Arial"/>
                <w:sz w:val="22"/>
                <w:szCs w:val="22"/>
                <w:lang w:val="en-US"/>
              </w:rPr>
              <w:t xml:space="preserve">11.3.8.14. </w:t>
            </w:r>
            <w:r w:rsidR="00794AE1" w:rsidRPr="007C17CE">
              <w:rPr>
                <w:rFonts w:ascii="Arial" w:eastAsia="Arial" w:hAnsi="Arial" w:cs="Arial"/>
                <w:sz w:val="22"/>
                <w:szCs w:val="22"/>
                <w:lang w:val="en-US"/>
              </w:rPr>
              <w:t>The Contractor shall follow the attached instructions provided to ensure an adequate level of safety and compliance with safety requirements. Information on the application of Regulation 402/2013 and the Assessment Body (</w:t>
            </w:r>
            <w:proofErr w:type="spellStart"/>
            <w:r w:rsidR="00794AE1" w:rsidRPr="007C17CE">
              <w:rPr>
                <w:rFonts w:ascii="Arial" w:eastAsia="Arial" w:hAnsi="Arial" w:cs="Arial"/>
                <w:sz w:val="22"/>
                <w:szCs w:val="22"/>
                <w:lang w:val="en-US"/>
              </w:rPr>
              <w:t>AsBo</w:t>
            </w:r>
            <w:proofErr w:type="spellEnd"/>
            <w:r w:rsidR="00794AE1" w:rsidRPr="007C17CE">
              <w:rPr>
                <w:rFonts w:ascii="Arial" w:eastAsia="Arial" w:hAnsi="Arial" w:cs="Arial"/>
                <w:sz w:val="22"/>
                <w:szCs w:val="22"/>
                <w:lang w:val="en-US"/>
              </w:rPr>
              <w:t>) can be found in guide RBDL-CTF-GDL-O-00002 (Annex 22). Information related to the submission of quality responses and the demonstration of information is provided in the manual D0007-SEA-XX-XX-INS_QA-R-00001_2.0 (Annex 23). It is expected that the application of the requirements set out in this manual will reduce the number of administrative rejections and eliminate low quality submissions. Details of the requirements to be met during the term of the Contractor's contract are set out in Specification RBGL-SEA-SPC-R-00001 (Annex No 32). The safety activities, both managerial and technical, to be carried out throughout the lifetime of the Rail Baltica Global Project are set out in the System Safety Plan RBGL-SEA-PLN-R-00001 (Annex No 5). For more information on the application of the Technical Specifications for Interoperability (TSIs) and the assessment of the Conformity Assessment Body (</w:t>
            </w:r>
            <w:proofErr w:type="spellStart"/>
            <w:r w:rsidR="00794AE1" w:rsidRPr="007C17CE">
              <w:rPr>
                <w:rFonts w:ascii="Arial" w:eastAsia="Arial" w:hAnsi="Arial" w:cs="Arial"/>
                <w:sz w:val="22"/>
                <w:szCs w:val="22"/>
                <w:lang w:val="en-US"/>
              </w:rPr>
              <w:t>NoBo</w:t>
            </w:r>
            <w:proofErr w:type="spellEnd"/>
            <w:r w:rsidR="00794AE1" w:rsidRPr="007C17CE">
              <w:rPr>
                <w:rFonts w:ascii="Arial" w:eastAsia="Arial" w:hAnsi="Arial" w:cs="Arial"/>
                <w:sz w:val="22"/>
                <w:szCs w:val="22"/>
                <w:lang w:val="en-US"/>
              </w:rPr>
              <w:t xml:space="preserve">), please refer to the guide RBDL-CTF-GDL-O-00001 (Annex 21). Further information on how the relevant documents should be drafted to ensure the proper maturity of the system definition and interoperability demonstration documents is provided in Guide D0007-SEA-GDL-R-00002 (Annex 36).   </w:t>
            </w:r>
          </w:p>
          <w:p w14:paraId="48954073" w14:textId="052069E2"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11.3.8.15. With reference to Regulation (EU) No 402/2013 on the common safety method for risk evaluation and assessment, the Supplier must (</w:t>
            </w:r>
            <w:proofErr w:type="spellStart"/>
            <w:r w:rsidRPr="0045163B">
              <w:rPr>
                <w:rFonts w:ascii="Arial" w:eastAsia="Arial" w:hAnsi="Arial" w:cs="Arial"/>
                <w:sz w:val="22"/>
                <w:szCs w:val="22"/>
                <w:lang w:val="en-US"/>
              </w:rPr>
              <w:t>i</w:t>
            </w:r>
            <w:proofErr w:type="spellEnd"/>
            <w:r w:rsidRPr="0045163B">
              <w:rPr>
                <w:rFonts w:ascii="Arial" w:eastAsia="Arial" w:hAnsi="Arial" w:cs="Arial"/>
                <w:sz w:val="22"/>
                <w:szCs w:val="22"/>
                <w:lang w:val="en-US"/>
              </w:rPr>
              <w:t>) have documented processes used for managing safety and quality during the design of the significant change, and (ii) apply those safety and quality processes during the design of the significant change for particular facility. The Supplier must also provide documentation proving the aforementioned (</w:t>
            </w:r>
            <w:proofErr w:type="spellStart"/>
            <w:r w:rsidRPr="0045163B">
              <w:rPr>
                <w:rFonts w:ascii="Arial" w:eastAsia="Arial" w:hAnsi="Arial" w:cs="Arial"/>
                <w:sz w:val="22"/>
                <w:szCs w:val="22"/>
                <w:lang w:val="en-US"/>
              </w:rPr>
              <w:t>i</w:t>
            </w:r>
            <w:proofErr w:type="spellEnd"/>
            <w:r w:rsidRPr="0045163B">
              <w:rPr>
                <w:rFonts w:ascii="Arial" w:eastAsia="Arial" w:hAnsi="Arial" w:cs="Arial"/>
                <w:sz w:val="22"/>
                <w:szCs w:val="22"/>
                <w:lang w:val="en-US"/>
              </w:rPr>
              <w:t>) processes and (ii) their application.</w:t>
            </w:r>
          </w:p>
          <w:p w14:paraId="7A144F22" w14:textId="20D645E2" w:rsidR="0055261E" w:rsidRPr="0045163B" w:rsidRDefault="0055261E" w:rsidP="0055261E">
            <w:pPr>
              <w:jc w:val="both"/>
              <w:rPr>
                <w:rFonts w:ascii="Arial" w:eastAsia="Arial" w:hAnsi="Arial" w:cs="Arial"/>
                <w:sz w:val="22"/>
                <w:szCs w:val="22"/>
                <w:lang w:val="en-US"/>
              </w:rPr>
            </w:pPr>
          </w:p>
          <w:p w14:paraId="463F29E8" w14:textId="77777777" w:rsidR="0055261E" w:rsidRPr="0045163B" w:rsidRDefault="0055261E" w:rsidP="0055261E">
            <w:pPr>
              <w:jc w:val="both"/>
              <w:rPr>
                <w:rFonts w:ascii="Arial" w:eastAsia="Arial" w:hAnsi="Arial" w:cs="Arial"/>
                <w:sz w:val="22"/>
                <w:szCs w:val="22"/>
                <w:lang w:val="en-US"/>
              </w:rPr>
            </w:pPr>
          </w:p>
          <w:p w14:paraId="4C4384C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11.3.9. Taking into account the requirements of the provisions of the Law on Special Conditions of Land Use of the Republic of Lithuania to register protection zones related to the installation of engineering networks or their relocation, if the need for the establishment and registration of servitudes becomes apparent, the supplier (as needed) will have to prepare the documentation of the related objects for the registration of these servitudes, according to the authorization to organize notarial contracts signing, organizing the registration of land use conditions in the Real Estate Register, and handing over all agreed documentation to the Customer.</w:t>
            </w:r>
          </w:p>
          <w:p w14:paraId="3B7B4B86" w14:textId="77777777" w:rsidR="0055261E" w:rsidRPr="0045163B" w:rsidRDefault="0055261E" w:rsidP="0055261E">
            <w:pPr>
              <w:jc w:val="both"/>
              <w:rPr>
                <w:rFonts w:ascii="Arial" w:eastAsia="Arial" w:hAnsi="Arial" w:cs="Arial"/>
                <w:sz w:val="22"/>
                <w:szCs w:val="22"/>
                <w:lang w:val="en-US"/>
              </w:rPr>
            </w:pPr>
          </w:p>
          <w:p w14:paraId="716EBFB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11.3.10. Organize construction surveys on the land plots specified in the special plan. (Clause 2 of Part 2 of Article 4 of the Law of the Republic of Lithuania on the Taking of Land for Public Needs in Implementing Projects of Special National Significance).</w:t>
            </w:r>
          </w:p>
          <w:p w14:paraId="1EBBE52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In cases where crops and/or plantations were destroyed or forest was cut down during construction surveys on the land plots specified in the special plan, as well as if other property was destroyed during these surveys, to calculate the losses incurred by the land owner and/or other user during these surveys (under Article 13, Part 2 of the Law of the Republic of Lithuania on the Taking of Land for Public Needs in Implementing Projects of Special National Significance).</w:t>
            </w:r>
          </w:p>
          <w:p w14:paraId="2E629C7A" w14:textId="2229F472"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will have to submit all calculations related to the provision of Services (including, but not limited to, data on the calculation of losses due to construction surveys) and documents. Calculations for </w:t>
            </w:r>
            <w:r w:rsidR="00FD3512" w:rsidRPr="0045163B">
              <w:rPr>
                <w:rFonts w:ascii="Arial" w:eastAsia="Arial" w:hAnsi="Arial" w:cs="Arial"/>
                <w:sz w:val="22"/>
                <w:szCs w:val="22"/>
                <w:lang w:val="en-US"/>
              </w:rPr>
              <w:t xml:space="preserve">losses </w:t>
            </w:r>
            <w:r w:rsidRPr="0045163B">
              <w:rPr>
                <w:rFonts w:ascii="Arial" w:eastAsia="Arial" w:hAnsi="Arial" w:cs="Arial"/>
                <w:sz w:val="22"/>
                <w:szCs w:val="22"/>
                <w:lang w:val="en-US"/>
              </w:rPr>
              <w:t>compensation for construction surveys will have to be submitted</w:t>
            </w:r>
            <w:r w:rsidR="00FD3512" w:rsidRPr="0045163B">
              <w:rPr>
                <w:rFonts w:ascii="Arial" w:eastAsia="Arial" w:hAnsi="Arial" w:cs="Arial"/>
                <w:sz w:val="22"/>
                <w:szCs w:val="22"/>
                <w:lang w:val="en-US"/>
              </w:rPr>
              <w:t xml:space="preserve"> for </w:t>
            </w:r>
            <w:r w:rsidR="00E24DBA" w:rsidRPr="0045163B">
              <w:rPr>
                <w:rFonts w:ascii="Arial" w:eastAsia="Arial" w:hAnsi="Arial" w:cs="Arial"/>
                <w:sz w:val="22"/>
                <w:szCs w:val="22"/>
                <w:lang w:val="en-US"/>
              </w:rPr>
              <w:t>Customer</w:t>
            </w:r>
            <w:r w:rsidRPr="0045163B">
              <w:rPr>
                <w:rFonts w:ascii="Arial" w:eastAsia="Arial" w:hAnsi="Arial" w:cs="Arial"/>
                <w:sz w:val="22"/>
                <w:szCs w:val="22"/>
                <w:lang w:val="en-US"/>
              </w:rPr>
              <w:t>. Such work must be carried out by a suitably qualified person.</w:t>
            </w:r>
            <w:r w:rsidR="00D62253" w:rsidRPr="0045163B">
              <w:rPr>
                <w:rFonts w:ascii="Arial" w:eastAsia="Arial" w:hAnsi="Arial" w:cs="Arial"/>
                <w:color w:val="FF0000"/>
                <w:sz w:val="22"/>
                <w:szCs w:val="22"/>
                <w:lang w:val="en-US"/>
              </w:rPr>
              <w:t xml:space="preserve"> </w:t>
            </w:r>
            <w:r w:rsidR="00D62253" w:rsidRPr="007C17CE">
              <w:rPr>
                <w:rFonts w:ascii="Arial" w:eastAsia="Arial" w:hAnsi="Arial" w:cs="Arial"/>
                <w:sz w:val="22"/>
                <w:szCs w:val="22"/>
                <w:lang w:val="en-US"/>
              </w:rPr>
              <w:t xml:space="preserve">The project shall include surveys and works for the clearance of areas contaminated with explosives and for the </w:t>
            </w:r>
            <w:proofErr w:type="spellStart"/>
            <w:r w:rsidR="00D62253" w:rsidRPr="007C17CE">
              <w:rPr>
                <w:rFonts w:ascii="Arial" w:eastAsia="Arial" w:hAnsi="Arial" w:cs="Arial"/>
                <w:sz w:val="22"/>
                <w:szCs w:val="22"/>
                <w:lang w:val="en-US"/>
              </w:rPr>
              <w:t>neutralisation</w:t>
            </w:r>
            <w:proofErr w:type="spellEnd"/>
            <w:r w:rsidR="00D62253" w:rsidRPr="007C17CE">
              <w:rPr>
                <w:rFonts w:ascii="Arial" w:eastAsia="Arial" w:hAnsi="Arial" w:cs="Arial"/>
                <w:sz w:val="22"/>
                <w:szCs w:val="22"/>
                <w:lang w:val="en-US"/>
              </w:rPr>
              <w:t xml:space="preserve"> of explosives.   </w:t>
            </w:r>
          </w:p>
          <w:p w14:paraId="3A0FF5F2" w14:textId="77777777" w:rsidR="0055261E" w:rsidRPr="0045163B" w:rsidRDefault="0055261E" w:rsidP="0055261E">
            <w:pPr>
              <w:jc w:val="both"/>
              <w:rPr>
                <w:rFonts w:ascii="Arial" w:eastAsia="Arial" w:hAnsi="Arial" w:cs="Arial"/>
                <w:sz w:val="22"/>
                <w:szCs w:val="22"/>
                <w:lang w:val="en-US"/>
              </w:rPr>
            </w:pPr>
          </w:p>
          <w:p w14:paraId="39C1C31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11.3.11. The project solutions are prepared in accordance with, but not limited to, the current version of the “Operational Plan for Rail Baltica” approved by Rail Baltica. Before starting the design work, the Supplier must contact the Customer regarding the submission of the current version of the “Operational Plan for Rail Baltica”.</w:t>
            </w:r>
          </w:p>
          <w:p w14:paraId="5630AD66" w14:textId="77777777" w:rsidR="0055261E" w:rsidRPr="0045163B" w:rsidRDefault="0055261E" w:rsidP="0055261E">
            <w:pPr>
              <w:jc w:val="both"/>
              <w:rPr>
                <w:rFonts w:ascii="Arial" w:eastAsia="Arial" w:hAnsi="Arial" w:cs="Arial"/>
                <w:sz w:val="22"/>
                <w:szCs w:val="22"/>
                <w:lang w:val="en-US"/>
              </w:rPr>
            </w:pPr>
          </w:p>
          <w:p w14:paraId="5D11CDB0" w14:textId="30F5D413"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11.3.12. In accordance with STR 1.04.04:2017 “Building design, project expertise” and the examples provided by the Customer, within the scope of the Master detailed technical design, the Supplier prepares technical maintenance manuals for all Construction objects, which include, but are not limited to:</w:t>
            </w:r>
          </w:p>
          <w:p w14:paraId="0BB23628"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 Maintenance requirements of designed infrastructure objects to ensure their efficient and safe operation,</w:t>
            </w:r>
          </w:p>
          <w:p w14:paraId="79539AE3" w14:textId="77777777" w:rsidR="0055261E" w:rsidRPr="0045163B" w:rsidRDefault="0055261E"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b) A set of values ​​for immediate action limits, intervention limits and warning limits,</w:t>
            </w:r>
          </w:p>
          <w:p w14:paraId="7BFE3FFB" w14:textId="77777777" w:rsidR="0055261E" w:rsidRPr="0045163B" w:rsidRDefault="0055261E"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c) Measures to be taken to reduce the risk of non-compliance and prevent defects from occurring (e.g. speed and/or performance limitation, response time for repairs).</w:t>
            </w:r>
          </w:p>
          <w:p w14:paraId="61829076" w14:textId="77777777" w:rsidR="0055261E" w:rsidRPr="0045163B" w:rsidRDefault="0055261E" w:rsidP="0055261E">
            <w:pPr>
              <w:widowControl/>
              <w:shd w:val="clear" w:color="auto" w:fill="FFFFFF"/>
              <w:rPr>
                <w:rFonts w:ascii="Arial" w:eastAsia="Arial" w:hAnsi="Arial" w:cs="Arial"/>
                <w:sz w:val="22"/>
                <w:szCs w:val="22"/>
                <w:lang w:val="en-US"/>
              </w:rPr>
            </w:pPr>
          </w:p>
          <w:p w14:paraId="312373EF" w14:textId="79C90B75" w:rsidR="0055261E" w:rsidRPr="0045163B" w:rsidRDefault="0055261E" w:rsidP="0055261E">
            <w:pPr>
              <w:widowControl/>
              <w:shd w:val="clear" w:color="auto" w:fill="FFFFFF" w:themeFill="background1"/>
              <w:rPr>
                <w:rFonts w:ascii="Arial" w:eastAsia="Arial" w:hAnsi="Arial" w:cs="Arial"/>
                <w:sz w:val="22"/>
                <w:szCs w:val="22"/>
                <w:lang w:val="en-US"/>
              </w:rPr>
            </w:pPr>
            <w:r w:rsidRPr="0045163B">
              <w:rPr>
                <w:rFonts w:ascii="Arial" w:eastAsia="Arial" w:hAnsi="Arial" w:cs="Arial"/>
                <w:sz w:val="22"/>
                <w:szCs w:val="22"/>
                <w:lang w:val="en-US"/>
              </w:rPr>
              <w:lastRenderedPageBreak/>
              <w:t xml:space="preserve">11.3.13. System Engineering Management </w:t>
            </w:r>
          </w:p>
          <w:p w14:paraId="7C3771E6" w14:textId="77777777" w:rsidR="0055261E" w:rsidRPr="0045163B" w:rsidRDefault="0055261E" w:rsidP="0055261E">
            <w:pPr>
              <w:widowControl/>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11.3.13.1. Pursuant to European Parliament and Council Directives (EU) 2016/797, (EU) 2016/798, CENELEC – EN 50126 standard, the Supplier must perform design work according to the system engineering method, following the life cycle (Cycle V) as specified in the EN 50126 standard. The supplier must specify in detail what evidence is to be provided at each stage as proof of compliance and completion of each phase of the RAMS life cycle (Cycle V).</w:t>
            </w:r>
          </w:p>
          <w:p w14:paraId="4D1FD527" w14:textId="76FC2485" w:rsidR="0055261E" w:rsidRPr="0045163B" w:rsidRDefault="0055261E" w:rsidP="0055261E">
            <w:pPr>
              <w:widowControl/>
              <w:shd w:val="clear" w:color="auto" w:fill="FFFFFF" w:themeFill="background1"/>
              <w:jc w:val="both"/>
              <w:rPr>
                <w:rFonts w:ascii="Arial" w:eastAsia="Arial" w:hAnsi="Arial" w:cs="Arial"/>
                <w:sz w:val="22"/>
                <w:szCs w:val="22"/>
                <w:lang w:val="en-US"/>
              </w:rPr>
            </w:pPr>
            <w:bookmarkStart w:id="3" w:name="_heading=h.tyjcwt"/>
            <w:bookmarkEnd w:id="3"/>
            <w:r w:rsidRPr="0045163B">
              <w:rPr>
                <w:rFonts w:ascii="Arial" w:eastAsia="Arial" w:hAnsi="Arial" w:cs="Arial"/>
                <w:sz w:val="22"/>
                <w:szCs w:val="22"/>
                <w:lang w:val="en-US"/>
              </w:rPr>
              <w:t>11.3.13.2. The Customer submits the RBR Systems Engineering Management Processes (see Annexes No. 5 to 12; 28) for informational purposes, so that the Supplier can become familiar with the systems engineering approach applied in all Rail Baltica projects.</w:t>
            </w:r>
          </w:p>
          <w:p w14:paraId="1ED7C88C" w14:textId="1FC950CC" w:rsidR="0055261E" w:rsidRPr="0045163B" w:rsidRDefault="0055261E" w:rsidP="0055261E">
            <w:pP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11.3.13.3. The Supplier shall implement the system engineering requirements specified in document "RBDL-SEA-SPC-R-00001, 5.0_ SE Requirements INFRA Design&amp;Construction.xls“ (Annex 32) which are applicable to phase „Design“ (no matter whether the Phase applicable is Design alone, or Design and any other phase).</w:t>
            </w:r>
          </w:p>
          <w:p w14:paraId="385E9019" w14:textId="4E62F8E2" w:rsidR="0055261E" w:rsidRPr="0045163B" w:rsidRDefault="0055261E" w:rsidP="0055261E">
            <w:pP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Clarification note: in the above mentioned file, the Consultant shall be read as the Supplier and the Client as the Customer".</w:t>
            </w:r>
          </w:p>
          <w:p w14:paraId="519FE0D9"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11.3.14. Quality management:</w:t>
            </w:r>
          </w:p>
          <w:p w14:paraId="7D81CCE7" w14:textId="77777777" w:rsidR="0055261E" w:rsidRPr="0045163B" w:rsidRDefault="0055261E" w:rsidP="0055261E">
            <w:pPr>
              <w:widowControl/>
              <w:pBdr>
                <w:top w:val="nil"/>
                <w:left w:val="nil"/>
                <w:bottom w:val="nil"/>
                <w:right w:val="nil"/>
                <w:between w:val="nil"/>
              </w:pBdr>
              <w:ind w:left="18" w:firstLine="270"/>
              <w:jc w:val="both"/>
              <w:rPr>
                <w:rFonts w:ascii="Arial" w:eastAsia="Arial" w:hAnsi="Arial" w:cs="Arial"/>
                <w:sz w:val="22"/>
                <w:szCs w:val="22"/>
                <w:lang w:val="en-US"/>
              </w:rPr>
            </w:pPr>
          </w:p>
          <w:p w14:paraId="779EC595"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11.3.14.1. Contractor must be certified according to ISO 9001 "Quality management systems - Requirements" or have an equivalent quality management system in place that is certified by an independent third party.</w:t>
            </w:r>
          </w:p>
          <w:p w14:paraId="210ED52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11.3.14.2. In a specific case, a reliable quality management system (QMS) corresponding to the nature, duration and complexity of the work must be implemented throughout the project's life cycle.</w:t>
            </w:r>
          </w:p>
          <w:p w14:paraId="5113DB8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11.3.14.3. The Contractor shall ensure that externally provided processes remain within the control of its quality management system;</w:t>
            </w:r>
          </w:p>
          <w:p w14:paraId="01DAE51B" w14:textId="3ED0A4AC"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11.3.14.4. The Contractor must apply "RBR quality requirements for product and service providers RBDL-SEA-ZZ-ZZ-REQ_QA-R-00001" (Annex 26), the evidence must be submitted to the Employer.</w:t>
            </w:r>
          </w:p>
          <w:p w14:paraId="4593DC5A" w14:textId="654A38F8"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11.3.14.5. The Contractor must apply "Employer’s quality requirements” (Annex 31), the evidence must be submitted the Employer.</w:t>
            </w:r>
          </w:p>
          <w:p w14:paraId="54795498" w14:textId="6E89FD8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11.3.14.6. </w:t>
            </w:r>
            <w:r w:rsidRPr="007C17CE">
              <w:rPr>
                <w:rFonts w:ascii="Arial" w:eastAsia="Arial" w:hAnsi="Arial" w:cs="Arial"/>
                <w:sz w:val="22"/>
                <w:szCs w:val="22"/>
                <w:lang w:val="en-US"/>
              </w:rPr>
              <w:t xml:space="preserve">With the inception report </w:t>
            </w:r>
            <w:r w:rsidRPr="0045163B">
              <w:rPr>
                <w:rFonts w:ascii="Arial" w:eastAsia="Arial" w:hAnsi="Arial" w:cs="Arial"/>
                <w:sz w:val="22"/>
                <w:szCs w:val="22"/>
                <w:lang w:val="en-US"/>
              </w:rPr>
              <w:t xml:space="preserve">the Contractor must prepare and submit a quality management plan (QMP) for the project and acceptable to the Employer, in accordance with ISO 10005 “Guidelines for quality management”, including the preparation of quality assurance instructions and all procedures necessary to ensure that the quality assurance system meet the criteria, preparation plan and schedule set by the Employer. The QMP must be approved by the </w:t>
            </w:r>
            <w:proofErr w:type="spellStart"/>
            <w:r w:rsidRPr="0045163B">
              <w:rPr>
                <w:rFonts w:ascii="Arial" w:eastAsia="Arial" w:hAnsi="Arial" w:cs="Arial"/>
                <w:sz w:val="22"/>
                <w:szCs w:val="22"/>
                <w:lang w:val="en-US"/>
              </w:rPr>
              <w:t>the</w:t>
            </w:r>
            <w:proofErr w:type="spellEnd"/>
            <w:r w:rsidRPr="0045163B">
              <w:rPr>
                <w:rFonts w:ascii="Arial" w:eastAsia="Arial" w:hAnsi="Arial" w:cs="Arial"/>
                <w:sz w:val="22"/>
                <w:szCs w:val="22"/>
                <w:lang w:val="en-US"/>
              </w:rPr>
              <w:t xml:space="preserve"> Employer.</w:t>
            </w:r>
          </w:p>
          <w:p w14:paraId="4DAF2B4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11.3.14.7. Appropriate quality management resources are deployed throughout the project life cycle as appropriate.</w:t>
            </w:r>
          </w:p>
          <w:p w14:paraId="541C176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11.3.14.8. The Contractor shall appoint a Project Quality Manager who would be responsible for the implementation of the applicable quality management requirements and continuous control during the execution of the contract.</w:t>
            </w:r>
          </w:p>
          <w:p w14:paraId="54BA0D9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11.3.14.9. All quality management documents must be prepared and submitted in PDF format and editable native format.</w:t>
            </w:r>
          </w:p>
          <w:p w14:paraId="00A7ADB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11.3.14.10. Where Contractor chooses to outsource any process that affects conformity with stated requirements, Contractor shall ensure control over such processes. Control of such outsourced processes shall be identified within the quality management system. </w:t>
            </w:r>
          </w:p>
          <w:p w14:paraId="3BC06C9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11.3.14.11. The Employer may elect to participate in any reviews or perform audits of Contractor as deemed necessary to ensure Contractor is implementing its quality management system satisfactorily.  Employer may elect to delegate these reviews/audits to a qualified representative, but this will not relieve Contractor of the responsibility of performing its activities in accordance with the Contract, or its own quality management system.</w:t>
            </w:r>
          </w:p>
          <w:p w14:paraId="6011F920" w14:textId="2119C847"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11.3.14.12. Contractor shall submit its internal and 2</w:t>
            </w:r>
            <w:r w:rsidRPr="0045163B">
              <w:rPr>
                <w:rFonts w:ascii="Arial" w:eastAsia="Arial" w:hAnsi="Arial" w:cs="Arial"/>
                <w:sz w:val="22"/>
                <w:szCs w:val="22"/>
                <w:vertAlign w:val="superscript"/>
                <w:lang w:val="en-US"/>
              </w:rPr>
              <w:t>nd</w:t>
            </w:r>
            <w:r w:rsidRPr="0045163B">
              <w:rPr>
                <w:rFonts w:ascii="Arial" w:eastAsia="Arial" w:hAnsi="Arial" w:cs="Arial"/>
                <w:sz w:val="22"/>
                <w:szCs w:val="22"/>
                <w:lang w:val="en-US"/>
              </w:rPr>
              <w:t xml:space="preserve"> party audit </w:t>
            </w:r>
            <w:proofErr w:type="spellStart"/>
            <w:r w:rsidRPr="0045163B">
              <w:rPr>
                <w:rFonts w:ascii="Arial" w:eastAsia="Arial" w:hAnsi="Arial" w:cs="Arial"/>
                <w:sz w:val="22"/>
                <w:szCs w:val="22"/>
                <w:lang w:val="en-US"/>
              </w:rPr>
              <w:t>programme</w:t>
            </w:r>
            <w:proofErr w:type="spellEnd"/>
            <w:r w:rsidRPr="0045163B">
              <w:rPr>
                <w:rFonts w:ascii="Arial" w:eastAsia="Arial" w:hAnsi="Arial" w:cs="Arial"/>
                <w:sz w:val="22"/>
                <w:szCs w:val="22"/>
                <w:lang w:val="en-US"/>
              </w:rPr>
              <w:t xml:space="preserve">(s) of the Work to Employer for review and acceptance </w:t>
            </w:r>
            <w:r w:rsidRPr="007C17CE">
              <w:rPr>
                <w:rFonts w:ascii="Arial" w:eastAsia="Arial" w:hAnsi="Arial" w:cs="Arial"/>
                <w:sz w:val="22"/>
                <w:szCs w:val="22"/>
                <w:lang w:val="en-US"/>
              </w:rPr>
              <w:t>with the inception report.</w:t>
            </w:r>
          </w:p>
          <w:p w14:paraId="2C8F2EFF" w14:textId="752BDDA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11.3.14.13. Contractor shall submit Inspection and test plans (ITP) for Employer review.  The ITP for each discipline shall be submitted for review prior to commencement of that particular discipline’s work scope.</w:t>
            </w:r>
          </w:p>
          <w:p w14:paraId="0C0AB57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11.3.14.14. Employer may monitor the application of Contractor's quality system by means of:</w:t>
            </w:r>
          </w:p>
          <w:p w14:paraId="11E0855A"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Ongoing surveillance;</w:t>
            </w:r>
          </w:p>
          <w:p w14:paraId="6D688F7B"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Presence at witness and hold points;</w:t>
            </w:r>
          </w:p>
          <w:p w14:paraId="5F554DF4"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Processing of non-conformance reports;</w:t>
            </w:r>
          </w:p>
          <w:p w14:paraId="669C759C"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Periodic or special audits;</w:t>
            </w:r>
          </w:p>
          <w:p w14:paraId="1B58D810"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Review of documents;</w:t>
            </w:r>
          </w:p>
          <w:p w14:paraId="3A6590FD" w14:textId="77777777" w:rsidR="0055261E" w:rsidRPr="0045163B" w:rsidRDefault="0055261E" w:rsidP="00925080">
            <w:pPr>
              <w:pStyle w:val="ListParagraph"/>
              <w:numPr>
                <w:ilvl w:val="0"/>
                <w:numId w:val="25"/>
              </w:numPr>
              <w:jc w:val="both"/>
              <w:rPr>
                <w:rFonts w:ascii="Arial" w:eastAsia="Arial" w:hAnsi="Arial" w:cs="Arial"/>
                <w:lang w:val="en-US"/>
              </w:rPr>
            </w:pPr>
            <w:r w:rsidRPr="0045163B">
              <w:rPr>
                <w:rFonts w:ascii="Arial" w:eastAsia="Arial" w:hAnsi="Arial" w:cs="Arial"/>
                <w:lang w:val="en-US"/>
              </w:rPr>
              <w:t>Any additional inspection and tests carried out by Employer or by authorized third parties.</w:t>
            </w:r>
          </w:p>
          <w:p w14:paraId="65781612" w14:textId="173F065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11.3.14.15. Contracts that provide laboratory services such as concrete and soils testing or material chemical and mechanical and non-destructive testing services are to have a quality program that complies with ISO 17025 and Employer approved equivalent. Contractor is to review and verify service subcontractors quality program meets project requirements.</w:t>
            </w:r>
          </w:p>
          <w:p w14:paraId="4AF39A6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11.3.14.16. A Kick-off meeting to discuss the management of quality requirements shall be held between the Contractor, the Engineer and the Client prior to the commencement of work to ensure that all requirements are understood.</w:t>
            </w:r>
          </w:p>
          <w:p w14:paraId="7E77A13B" w14:textId="36D6B7E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11.3.14.17. Contractor’s progress reports (monthly) shall include related information (NCR, Audits, Inspections, Tests, status of findings and corrective actions).</w:t>
            </w:r>
          </w:p>
          <w:p w14:paraId="6A69D060" w14:textId="71EAC545" w:rsidR="0055261E" w:rsidRPr="0045163B" w:rsidRDefault="0055261E" w:rsidP="0055261E">
            <w:pPr>
              <w:widowControl/>
              <w:shd w:val="clear" w:color="auto" w:fill="FFFFFF" w:themeFill="background1"/>
              <w:jc w:val="both"/>
              <w:rPr>
                <w:rFonts w:ascii="Arial" w:eastAsia="Arial" w:hAnsi="Arial" w:cs="Arial"/>
                <w:sz w:val="22"/>
                <w:szCs w:val="22"/>
                <w:lang w:val="en-US"/>
              </w:rPr>
            </w:pPr>
          </w:p>
          <w:p w14:paraId="17AD93B2" w14:textId="602DA702" w:rsidR="0055261E" w:rsidRPr="0045163B" w:rsidRDefault="0055261E" w:rsidP="0055261E">
            <w:pPr>
              <w:widowControl/>
              <w:shd w:val="clear" w:color="auto" w:fill="FFFFFF" w:themeFill="background1"/>
              <w:jc w:val="both"/>
              <w:rPr>
                <w:rFonts w:ascii="Arial" w:eastAsia="Arial" w:hAnsi="Arial" w:cs="Arial"/>
                <w:sz w:val="22"/>
                <w:szCs w:val="22"/>
                <w:lang w:val="en-US"/>
              </w:rPr>
            </w:pPr>
          </w:p>
          <w:p w14:paraId="0DE4B5B7" w14:textId="242AF98B" w:rsidR="0055261E" w:rsidRPr="0045163B" w:rsidRDefault="0055261E" w:rsidP="0055261E">
            <w:pPr>
              <w:widowControl/>
              <w:pBdr>
                <w:top w:val="nil"/>
                <w:left w:val="nil"/>
                <w:bottom w:val="nil"/>
                <w:right w:val="nil"/>
                <w:between w:val="nil"/>
              </w:pBdr>
              <w:ind w:left="75" w:firstLine="360"/>
              <w:rPr>
                <w:rFonts w:ascii="Arial" w:eastAsia="Arial" w:hAnsi="Arial" w:cs="Arial"/>
                <w:sz w:val="22"/>
                <w:szCs w:val="22"/>
                <w:lang w:val="en-US"/>
              </w:rPr>
            </w:pPr>
          </w:p>
          <w:p w14:paraId="2B384568" w14:textId="4439A9AC"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 RAMS requirements</w:t>
            </w:r>
          </w:p>
          <w:p w14:paraId="5BEA5C91" w14:textId="77777777"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p>
          <w:p w14:paraId="01D05D93" w14:textId="3A19BC6D"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lastRenderedPageBreak/>
              <w:t>11.3.15.1. The supplier must implement reliability, readiness, maintenance, safety (LT - PPPS, EN - RAMS) and BSB (EN - CSM) in accordance with Directive (EU) 2016/797, Regulation (EU) 2013/402, standard EN50126-1, Rail Baltica RAMS Design Guidelines and RB Rail AS related procedures.</w:t>
            </w:r>
          </w:p>
          <w:p w14:paraId="377372D7" w14:textId="313C7F6B"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11.3.15.2. The supplier’s project must meet the following RAMS high-level requirements:</w:t>
            </w:r>
          </w:p>
          <w:p w14:paraId="6501D197"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a) The Design Guidelines set the reliability, readiness, maintenance and safety objectives (RAMS) that must be achieved by the Rail Baltica railway in operation.</w:t>
            </w:r>
          </w:p>
          <w:p w14:paraId="4C5F8D03"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b) Rail Baltica’s rail transport system must be safe, secure, efficient, economical, robust, reliable, durable and convenient in all aspects, able to provide high service quality standards within the expected capacity level, and must use modern technologies with proven performance characteristics.</w:t>
            </w:r>
          </w:p>
          <w:p w14:paraId="1ABE1BEE" w14:textId="6C14D0BD" w:rsidR="0055261E" w:rsidRPr="00B54908" w:rsidRDefault="0055261E" w:rsidP="007D4407">
            <w:pPr>
              <w:widowControl/>
              <w:tabs>
                <w:tab w:val="left" w:pos="0"/>
              </w:tabs>
              <w:ind w:left="18" w:firstLine="270"/>
              <w:jc w:val="both"/>
              <w:rPr>
                <w:rFonts w:ascii="Arial" w:eastAsia="Arial" w:hAnsi="Arial" w:cs="Arial"/>
                <w:sz w:val="22"/>
                <w:szCs w:val="22"/>
                <w:lang w:val="en-US"/>
              </w:rPr>
            </w:pPr>
            <w:r w:rsidRPr="0045163B">
              <w:rPr>
                <w:rFonts w:ascii="Arial" w:eastAsia="Arial" w:hAnsi="Arial" w:cs="Arial"/>
                <w:sz w:val="22"/>
                <w:szCs w:val="22"/>
                <w:lang w:val="en-US"/>
              </w:rPr>
              <w:t>c) The level of performance and reliability must be comparable to other leading international railway infrastructure</w:t>
            </w:r>
            <w:r w:rsidR="007D4407" w:rsidRPr="0045163B">
              <w:rPr>
                <w:rFonts w:ascii="Arial" w:eastAsia="Arial" w:hAnsi="Arial" w:cs="Arial"/>
                <w:sz w:val="22"/>
                <w:szCs w:val="22"/>
                <w:lang w:val="en-US"/>
              </w:rPr>
              <w:t>,</w:t>
            </w:r>
            <w:r w:rsidR="007D4407" w:rsidRPr="0045163B">
              <w:rPr>
                <w:rFonts w:ascii="Arial" w:eastAsia="Arial" w:hAnsi="Arial" w:cs="Arial"/>
                <w:color w:val="FF0000"/>
                <w:sz w:val="22"/>
                <w:szCs w:val="22"/>
                <w:lang w:val="en-US"/>
              </w:rPr>
              <w:t xml:space="preserve"> </w:t>
            </w:r>
            <w:r w:rsidR="007D4407" w:rsidRPr="00B54908">
              <w:rPr>
                <w:rFonts w:ascii="Arial" w:eastAsia="Arial" w:hAnsi="Arial" w:cs="Arial"/>
                <w:sz w:val="22"/>
                <w:szCs w:val="22"/>
                <w:lang w:val="en-US"/>
              </w:rPr>
              <w:t>similar to the object to be procured and compliant with Commission Implementing Regulation (EU) No 402/2013.</w:t>
            </w:r>
          </w:p>
          <w:p w14:paraId="7C91CD5A" w14:textId="188F8DA8"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11.3.15.3. The supplier must provide the following RAMS/CSM documents:</w:t>
            </w:r>
          </w:p>
          <w:p w14:paraId="1ACDE4F5"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a) Project safety plan;</w:t>
            </w:r>
          </w:p>
          <w:p w14:paraId="0E6E8B22"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b) System definition;</w:t>
            </w:r>
          </w:p>
          <w:p w14:paraId="02299CB2"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c) Hazard analysis, including threat identification;</w:t>
            </w:r>
          </w:p>
          <w:p w14:paraId="23D9CA11"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d) Threat file after risk assessment;</w:t>
            </w:r>
          </w:p>
          <w:p w14:paraId="1640E62E"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e) Risk assessment report;</w:t>
            </w:r>
          </w:p>
          <w:p w14:paraId="3BA90A16"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f) Failure Modes, Effects (and Criticality) Analysis (FMECA);</w:t>
            </w:r>
          </w:p>
          <w:p w14:paraId="2800E209"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g) Project safety report;</w:t>
            </w:r>
          </w:p>
          <w:p w14:paraId="2C31EDF7" w14:textId="77777777" w:rsidR="0055261E" w:rsidRPr="0045163B" w:rsidRDefault="0055261E" w:rsidP="0055261E">
            <w:pPr>
              <w:widowControl/>
              <w:pBdr>
                <w:top w:val="nil"/>
                <w:left w:val="nil"/>
                <w:bottom w:val="nil"/>
                <w:right w:val="nil"/>
                <w:between w:val="nil"/>
              </w:pBdr>
              <w:ind w:left="75" w:firstLine="360"/>
              <w:jc w:val="both"/>
              <w:rPr>
                <w:rFonts w:ascii="Arial" w:eastAsia="Arial" w:hAnsi="Arial" w:cs="Arial"/>
                <w:sz w:val="22"/>
                <w:szCs w:val="22"/>
                <w:lang w:val="en-US"/>
              </w:rPr>
            </w:pPr>
            <w:r w:rsidRPr="0045163B">
              <w:rPr>
                <w:rFonts w:ascii="Arial" w:eastAsia="Arial" w:hAnsi="Arial" w:cs="Arial"/>
                <w:sz w:val="22"/>
                <w:szCs w:val="22"/>
                <w:lang w:val="en-US"/>
              </w:rPr>
              <w:t xml:space="preserve">h) Reliability </w:t>
            </w:r>
            <w:proofErr w:type="spellStart"/>
            <w:r w:rsidRPr="0045163B">
              <w:rPr>
                <w:rFonts w:ascii="Arial" w:eastAsia="Arial" w:hAnsi="Arial" w:cs="Arial"/>
                <w:sz w:val="22"/>
                <w:szCs w:val="22"/>
                <w:lang w:val="en-US"/>
              </w:rPr>
              <w:t>centred</w:t>
            </w:r>
            <w:proofErr w:type="spellEnd"/>
            <w:r w:rsidRPr="0045163B">
              <w:rPr>
                <w:rFonts w:ascii="Arial" w:eastAsia="Arial" w:hAnsi="Arial" w:cs="Arial"/>
                <w:sz w:val="22"/>
                <w:szCs w:val="22"/>
                <w:lang w:val="en-US"/>
              </w:rPr>
              <w:t xml:space="preserve"> maintenance.</w:t>
            </w:r>
          </w:p>
          <w:p w14:paraId="012AEB7B" w14:textId="77777777" w:rsidR="0055261E" w:rsidRPr="0045163B" w:rsidRDefault="0055261E" w:rsidP="0055261E">
            <w:pPr>
              <w:widowControl/>
              <w:pBdr>
                <w:top w:val="nil"/>
                <w:left w:val="nil"/>
                <w:bottom w:val="nil"/>
                <w:right w:val="nil"/>
                <w:between w:val="nil"/>
              </w:pBdr>
              <w:ind w:left="75" w:firstLine="360"/>
              <w:jc w:val="both"/>
              <w:rPr>
                <w:rFonts w:ascii="Arial" w:eastAsia="Arial" w:hAnsi="Arial" w:cs="Arial"/>
                <w:sz w:val="22"/>
                <w:szCs w:val="22"/>
                <w:lang w:val="en-US"/>
              </w:rPr>
            </w:pPr>
          </w:p>
          <w:p w14:paraId="26C6764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11.3.16. Document Management</w:t>
            </w:r>
          </w:p>
          <w:p w14:paraId="6486C97A" w14:textId="77777777" w:rsidR="0055261E" w:rsidRPr="0045163B" w:rsidRDefault="0055261E" w:rsidP="0055261E">
            <w:pPr>
              <w:jc w:val="both"/>
              <w:rPr>
                <w:rFonts w:ascii="Arial" w:eastAsia="Arial" w:hAnsi="Arial" w:cs="Arial"/>
                <w:sz w:val="22"/>
                <w:szCs w:val="22"/>
                <w:lang w:val="en-US"/>
              </w:rPr>
            </w:pPr>
          </w:p>
          <w:p w14:paraId="26B4992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11.3.16.1. The Supplier must follow all references and requirements defined in the Document Management Plan (RBGL-DMT-PLN-Z-00001), including the Deliverables Quality Control Procedure (RBGL-RBR -PRC-Z-00005), and Document Numbering and File Naming Procedure (RBGL-DMT-PRC-Z-00001).</w:t>
            </w:r>
          </w:p>
          <w:p w14:paraId="796428D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11.3.16.2. All documentation for the Rail Baltica Global Project (RBGP) shall be managed using centralized Electronic Document Management System (EDMS) selected by Client (Customer) that supports document review, approval, storage, and distribution to ensure consistent management practices, secure document handling, and efficient access across all project stakeholders. </w:t>
            </w:r>
          </w:p>
          <w:p w14:paraId="127FED7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11.3.16.3. All Rail Baltica RBGP </w:t>
            </w:r>
            <w:proofErr w:type="spellStart"/>
            <w:r w:rsidRPr="0045163B">
              <w:rPr>
                <w:rFonts w:ascii="Arial" w:eastAsia="Arial" w:hAnsi="Arial" w:cs="Arial"/>
                <w:sz w:val="22"/>
                <w:szCs w:val="22"/>
                <w:lang w:val="en-US"/>
              </w:rPr>
              <w:t>projcet</w:t>
            </w:r>
            <w:proofErr w:type="spellEnd"/>
            <w:r w:rsidRPr="0045163B">
              <w:rPr>
                <w:rFonts w:ascii="Arial" w:eastAsia="Arial" w:hAnsi="Arial" w:cs="Arial"/>
                <w:sz w:val="22"/>
                <w:szCs w:val="22"/>
                <w:lang w:val="en-US"/>
              </w:rPr>
              <w:t xml:space="preserve"> documents, including those created by AB “LTG Infra”, RB Rail AS, Supplier, and other stakeholders, must be stored on RBGP EDMS. This centralized repository facilitates uniformity, traceability, and control over project documents.</w:t>
            </w:r>
          </w:p>
          <w:p w14:paraId="50C54A7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11.3.16.4. The folder structure within EDMS shall adhere to Client’s (Customer’s) and RBGP requirements to ensure logical </w:t>
            </w:r>
            <w:r w:rsidRPr="0045163B">
              <w:rPr>
                <w:rFonts w:ascii="Arial" w:eastAsia="Arial" w:hAnsi="Arial" w:cs="Arial"/>
                <w:sz w:val="22"/>
                <w:szCs w:val="22"/>
                <w:lang w:val="en-US"/>
              </w:rPr>
              <w:lastRenderedPageBreak/>
              <w:t>organization, easy retrieval, and proper categorization of documents. The folder hierarchy will reflect the project phases, types of documents, and relevant access controls.</w:t>
            </w:r>
          </w:p>
          <w:p w14:paraId="66204FF1" w14:textId="66079D50"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11.3.16.5. Document access on RBGP EDMS will be managed according to project levels, roles, and responsibilities. Access permissions will be granted based on a need-to-know basis to ensure confidentiality, security, and compliance with RBGP policies.</w:t>
            </w:r>
          </w:p>
        </w:tc>
      </w:tr>
      <w:tr w:rsidR="0055261E" w:rsidRPr="0045163B" w14:paraId="7122C88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F0D7D" w14:textId="77777777" w:rsidR="0055261E" w:rsidRPr="0045163B" w:rsidRDefault="0055261E" w:rsidP="0055261E">
            <w:pPr>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7984A"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11.4. Project implementation supervision</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FAFC56" w14:textId="64404D7C"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11.4.1. The supplier will have to provide the provided Services in accordance with STR 1.06.01:2016 “Construction works. Design implementation supervision” requirements and other requirements of the laws of the Republic of Lithuania.</w:t>
            </w:r>
          </w:p>
          <w:p w14:paraId="04E843AA" w14:textId="77777777" w:rsidR="0055261E" w:rsidRPr="00B54908"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11.4.2. To participate in meetings organized by the Customer or the Engineer during the entire period of execution of the Agreement. Decisions made in these meetings and duly approved by the signatures of the authorized representatives of the Parties </w:t>
            </w:r>
            <w:r w:rsidRPr="00B54908">
              <w:rPr>
                <w:rFonts w:ascii="Arial" w:eastAsia="Arial" w:hAnsi="Arial" w:cs="Arial"/>
                <w:sz w:val="22"/>
                <w:szCs w:val="22"/>
                <w:lang w:val="en-US"/>
              </w:rPr>
              <w:t xml:space="preserve">will be binding on the Parties. </w:t>
            </w:r>
          </w:p>
          <w:p w14:paraId="50FDB2FF" w14:textId="7315D704" w:rsidR="0055261E" w:rsidRPr="00B54908" w:rsidRDefault="0055261E" w:rsidP="0055261E">
            <w:pPr>
              <w:jc w:val="both"/>
              <w:rPr>
                <w:rFonts w:ascii="Arial" w:eastAsia="Arial" w:hAnsi="Arial" w:cs="Arial"/>
                <w:sz w:val="22"/>
                <w:szCs w:val="22"/>
                <w:lang w:val="en-US"/>
              </w:rPr>
            </w:pPr>
            <w:r w:rsidRPr="00B54908">
              <w:rPr>
                <w:rFonts w:ascii="Arial" w:eastAsia="Arial" w:hAnsi="Arial" w:cs="Arial"/>
                <w:sz w:val="22"/>
                <w:szCs w:val="22"/>
                <w:lang w:val="en-US"/>
              </w:rPr>
              <w:t xml:space="preserve">11.4.3. </w:t>
            </w:r>
            <w:r w:rsidR="003E0273" w:rsidRPr="00B54908">
              <w:rPr>
                <w:rFonts w:ascii="Arial" w:eastAsia="Arial" w:hAnsi="Arial" w:cs="Arial"/>
                <w:sz w:val="22"/>
                <w:szCs w:val="22"/>
                <w:lang w:val="en-US"/>
              </w:rPr>
              <w:t>During the supervision of the Design, visit the site of the works at a time agreed in advance with the Customer, the contractor of the construction works, but at least once a week, starting from the actual commencement of the construction works of the Structure and ending with the completion of the construction of the constructed Structure.</w:t>
            </w:r>
          </w:p>
          <w:p w14:paraId="06366BD1" w14:textId="181E6773"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design implementation supervision manager must “visit the construction site at the time and procedure stipulated in the contract and resolve issues related to the implementation of structural project solutions” as provided for in STR 1.06.01:2016 “Construction works. Design implementation supervision” in point 91.1. must also follow the “calendar schedule of construction project execution maintenance works” as provided for in point 85.2 of the aforementioned STR.</w:t>
            </w:r>
          </w:p>
          <w:p w14:paraId="5A4CE30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11.4.4. Check whether the structure is built and/or demolished in accordance with the solutions of the structural design, and record this in the construction log.</w:t>
            </w:r>
          </w:p>
          <w:p w14:paraId="0206482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11.4.5. Organize the correction of observed structural project solution errors.</w:t>
            </w:r>
          </w:p>
          <w:p w14:paraId="0021E67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11.4.6. At the Customer’s request, correct any deficiencies related to the provision of the Services at its own expense and within the specified period, as well as to compensate the Customer for any losses arising from the provision of the Services or related to them, if it turns out that the Services were provided with poor quality and/or non-compliance with STR 1.06.01:2016 requirements and requirements of other legal acts of the Republic of Lithuania. </w:t>
            </w:r>
          </w:p>
          <w:p w14:paraId="6B62F1B3"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3311337A" w14:textId="77777777" w:rsidTr="00655ADD">
        <w:trPr>
          <w:trHeight w:val="70"/>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C34E" w14:textId="77777777" w:rsidR="0055261E" w:rsidRPr="0045163B" w:rsidRDefault="0055261E" w:rsidP="0055261E">
            <w:pPr>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87B4" w14:textId="77777777" w:rsidR="0055261E" w:rsidRPr="0045163B" w:rsidRDefault="0055261E" w:rsidP="0055261E">
            <w:pPr>
              <w:spacing w:line="276" w:lineRule="auto"/>
              <w:ind w:left="360"/>
              <w:jc w:val="center"/>
              <w:rPr>
                <w:rFonts w:ascii="Arial" w:eastAsia="Arial" w:hAnsi="Arial" w:cs="Arial"/>
                <w:b/>
                <w:sz w:val="22"/>
                <w:szCs w:val="22"/>
                <w:lang w:val="en-US"/>
              </w:rPr>
            </w:pPr>
            <w:r w:rsidRPr="0045163B">
              <w:rPr>
                <w:rFonts w:ascii="Arial" w:eastAsia="Arial" w:hAnsi="Arial" w:cs="Arial"/>
                <w:b/>
                <w:sz w:val="22"/>
                <w:szCs w:val="22"/>
                <w:lang w:val="en-US"/>
              </w:rPr>
              <w:t>III. Requirements for design services</w:t>
            </w:r>
          </w:p>
        </w:tc>
      </w:tr>
      <w:tr w:rsidR="00057A7F" w:rsidRPr="0045163B" w14:paraId="1577AC63" w14:textId="77777777" w:rsidTr="00655ADD">
        <w:trPr>
          <w:trHeight w:val="147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998CD" w14:textId="77777777" w:rsidR="00057A7F" w:rsidRPr="0045163B" w:rsidRDefault="00057A7F" w:rsidP="00057A7F">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F26923" w14:textId="77777777" w:rsidR="00057A7F" w:rsidRPr="0045163B" w:rsidRDefault="00057A7F" w:rsidP="00057A7F">
            <w:pPr>
              <w:spacing w:line="276" w:lineRule="auto"/>
              <w:rPr>
                <w:rFonts w:ascii="Arial" w:eastAsia="Arial" w:hAnsi="Arial" w:cs="Arial"/>
                <w:b/>
                <w:sz w:val="22"/>
                <w:szCs w:val="22"/>
                <w:lang w:val="en-US"/>
              </w:rPr>
            </w:pPr>
            <w:r w:rsidRPr="0045163B">
              <w:rPr>
                <w:rFonts w:ascii="Arial" w:eastAsia="Arial" w:hAnsi="Arial" w:cs="Arial"/>
                <w:sz w:val="22"/>
                <w:szCs w:val="22"/>
                <w:lang w:val="en-US"/>
              </w:rPr>
              <w:t xml:space="preserve">Legal acts, normative construction technical documents and </w:t>
            </w:r>
            <w:r w:rsidRPr="0045163B">
              <w:rPr>
                <w:rFonts w:ascii="Arial" w:eastAsia="Arial" w:hAnsi="Arial" w:cs="Arial"/>
                <w:sz w:val="22"/>
                <w:szCs w:val="22"/>
                <w:lang w:val="en-US"/>
              </w:rPr>
              <w:lastRenderedPageBreak/>
              <w:t>normative construction safety and purpose documents, territorial planning documents applicable to project preparation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D467F6"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When providing services, the service provider shall be guided by:</w:t>
            </w:r>
          </w:p>
          <w:p w14:paraId="3BA51D3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 Law on Construction of the Republic of Lithuania;</w:t>
            </w:r>
          </w:p>
          <w:p w14:paraId="485D859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12.2. Law on Architecture of the Republic of Lithuania;</w:t>
            </w:r>
          </w:p>
          <w:p w14:paraId="46DAD2D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 Technical Construction Regulation STR 1.04.04:2017 “Building design, project expertise”, approved by Order No. D1-738 of the Minister of the Environment of the Republic of Lithuania dated 11 November 2016 and subsequent amendments;</w:t>
            </w:r>
          </w:p>
          <w:p w14:paraId="53D6510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12.4. Technical Construction Regulation STR 1.01.03:2017 “Classification of structures”; approved by the Order No. D1-713 of the Minister of the Environment of the Republic of Lithuania dated 27 October 2016 and subsequent amendments;</w:t>
            </w:r>
          </w:p>
          <w:p w14:paraId="5FF0313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 Technical Construction Regulation STR 1.01.02:2016 “Normative construction technical documents”, approved by Order No. 173 of the Minister of the Environment of the Republic of Lithuania dated 12 April 2002, and subsequent amendments;</w:t>
            </w:r>
          </w:p>
          <w:p w14:paraId="1C9E095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12.6. Technical Construction Regulation STR 1.01.08:2002 “Types of Civil Construction”; approved by Order No. 622 of the Minister of the Environment of the Republic of Lithuania of 5 December 2002 and subsequent amendments;</w:t>
            </w:r>
          </w:p>
          <w:p w14:paraId="75D9251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12.7. Technical Construction Regulation STR 1.05.01:2017 “Construction permits. Completion of construction. Suspension of construction. </w:t>
            </w:r>
            <w:r w:rsidRPr="00B54908">
              <w:rPr>
                <w:rFonts w:ascii="Arial" w:eastAsia="Arial" w:hAnsi="Arial" w:cs="Arial"/>
                <w:sz w:val="22"/>
                <w:szCs w:val="22"/>
                <w:lang w:val="en-US"/>
              </w:rPr>
              <w:t xml:space="preserve">Registration and transfer of unfinished buildings. </w:t>
            </w:r>
            <w:r w:rsidRPr="0045163B">
              <w:rPr>
                <w:rFonts w:ascii="Arial" w:eastAsia="Arial" w:hAnsi="Arial" w:cs="Arial"/>
                <w:sz w:val="22"/>
                <w:szCs w:val="22"/>
                <w:lang w:val="en-US"/>
              </w:rPr>
              <w:t>Elimination of the effects of arbitrary construction. Elimination of the consequences of construction based on an illegally issued construction permit document”, approved by Order No. D1-878 of the Minister of the Environment of the Republic of Lithuania of 12 December 2016 and subsequent amendments;</w:t>
            </w:r>
          </w:p>
          <w:p w14:paraId="267014E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12.8. Technical Construction Regulation STR 2.02.02:2004 “Buildings of public purpose”, approved by Order No. D1-91 of the Minister of the Environment of the Republic of Lithuania dated 27 February 2004 and subsequent amendments;</w:t>
            </w:r>
          </w:p>
          <w:p w14:paraId="34DEDB6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12.9. Technical Construction Regulation STR 2.03.01:2019 “Accessibility of structures”, approved by Order No. D1-653 of the Minister of the Environment of the Republic of Lithuania dated 4 November 2019 and subsequent amendments;</w:t>
            </w:r>
          </w:p>
          <w:p w14:paraId="6492DC9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12.10. Technical Construction Regulation STR 2.09.02:2005 “Heating, ventilation and air conditioning”, approved by Order No. D1-289 of the Minister of the Environment of the Republic of Lithuania dated 9 June 2005 and subsequent amendments;</w:t>
            </w:r>
          </w:p>
          <w:p w14:paraId="7124C00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12.11. Technical Regulation TR 2.01:2019 “Design of automobile tracks and railway bridges and tunnels”, approved by Order No. 3-263 of the Minister of Transport and Communications of the Republic of Lithuania of 6 June 2019;</w:t>
            </w:r>
          </w:p>
          <w:p w14:paraId="29E8ABF5"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12.12. Technical Construction Regulation STR 2.01.01(2):1999 “Essential building requirements. Fire safety”, approved by Order No. 422 of the Minister of the Environment of the Republic of Lithuania of 27 December 1999 and subsequent amendments; </w:t>
            </w:r>
          </w:p>
          <w:p w14:paraId="5E19ABF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12.13. Technical Construction Regulation STR 2.05.21:2016 “Geotechnical design. General requirements” approved by the Order No. D1-468 of the Minister of the Environment of the Republic of Lithuania of 4 July 2016 and subsequent amendments;</w:t>
            </w:r>
          </w:p>
          <w:p w14:paraId="19E649D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12.14. Technical Construction Regulation STR 1.04.02:2011 “Engineering geological and geotechnical investigations” approved by Order No. D1-1053 of the Minister of the Environment of the Republic of Lithuania of 29 December 2011 and subsequent amendments;</w:t>
            </w:r>
          </w:p>
          <w:p w14:paraId="32AC932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12.15. Lithuanian standards LST EN 1997-1:2005 - LST EN 1997-2:2007 Eurocode 7. Geotechnical design (Parts 1 and 2);</w:t>
            </w:r>
          </w:p>
          <w:p w14:paraId="2196204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12.16. Law on Environmental Protection of the Republic of Lithuania I-2223;</w:t>
            </w:r>
          </w:p>
          <w:p w14:paraId="176106D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12.17. Order on the Protected Territories of the Republic of Lithuania I-301;</w:t>
            </w:r>
          </w:p>
          <w:p w14:paraId="0050C8D8" w14:textId="77777777" w:rsidR="00057A7F" w:rsidRPr="00B54908"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12.18</w:t>
            </w:r>
            <w:r w:rsidRPr="00B54908">
              <w:rPr>
                <w:rFonts w:ascii="Arial" w:eastAsia="Arial" w:hAnsi="Arial" w:cs="Arial"/>
                <w:sz w:val="22"/>
                <w:szCs w:val="22"/>
                <w:lang w:val="en-US"/>
              </w:rPr>
              <w:t>. Rates for the replacement value of vegetation, approved by the Order of the Minister of Environment of the Republic of Lithuania No D1-343 of 26 June 2008 and subsequent amendment;</w:t>
            </w:r>
          </w:p>
          <w:p w14:paraId="3635AC4F"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12.19. Surface Wastewater Management Regulation, approved by Order of the Minister of the Environment of the Republic of Lithuania No D1-193 of 2 April 2007 and subsequent amendments;  </w:t>
            </w:r>
          </w:p>
          <w:p w14:paraId="44202220"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 xml:space="preserve">12.20. The description of the procedure for the application of environmental criteria in green procurement, approved by Order </w:t>
            </w:r>
            <w:r w:rsidRPr="00B54908">
              <w:rPr>
                <w:rFonts w:ascii="Arial" w:eastAsia="Arial" w:hAnsi="Arial" w:cs="Arial"/>
                <w:sz w:val="22"/>
                <w:szCs w:val="22"/>
                <w:lang w:val="en-US"/>
              </w:rPr>
              <w:lastRenderedPageBreak/>
              <w:t>of the Minister of the Environment of the Republic of Lithuania No D1-508 of 28 June 2011 (wording of Order No D1-401 of 13 December 2022) and subsequent amendments;  </w:t>
            </w:r>
          </w:p>
          <w:p w14:paraId="1FC9FC2B"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12.21. Commission Regulation (EU) No. 1300/2014 “on technical specifications for the interoperability of the accessibility of the Union railway system for disabled persons and persons with reduced mobility”;</w:t>
            </w:r>
          </w:p>
          <w:p w14:paraId="22DBCF98"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12.22. Commission Regulation (EU) No. 1299/2014 “on the technical interoperability specification of the infrastructure subsystem of the European Union railway system”;</w:t>
            </w:r>
          </w:p>
          <w:p w14:paraId="65B7C91E"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12.23. Railway station design rules, approved by Order No. 3-25/D1-249 of the Minister of Transport and Communications of the Republic of Lithuania and the Minister of the Environment of the Republic of Lithuania of 5 May 2004 and subsequent amendments;</w:t>
            </w:r>
          </w:p>
          <w:p w14:paraId="56AB6800"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12.24. Regulations for the technical use of railways, approved by Order No. 3-309 of the Minister of Transport and Communications of the Republic of Lithuania dated 11 July 2017.</w:t>
            </w:r>
          </w:p>
          <w:p w14:paraId="08C1BB9E"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12.25. STR. 2.07:2003 “Water supply and sewage disposal. Building engineering systems. Field engineering networks” approved by Order No. 390 of the Minister of the Environment of the Republic of Lithuania dated 21 July 2003 and subsequent amendments;</w:t>
            </w:r>
          </w:p>
          <w:p w14:paraId="0B475A4B"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12.26. Water consumption rate RSN 26-90;</w:t>
            </w:r>
          </w:p>
          <w:p w14:paraId="4B5FA412"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12.27. Railway Transport Traffic Safety Law of the Republic of Lithuania No. IX-1905;</w:t>
            </w:r>
          </w:p>
          <w:p w14:paraId="2F26228D"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12.28. Rules for Issuing Permits to Start Using Structural Subsystems and Rolling Stock of the Railway System in the Republic of Lithuania, approved by Order No. 3-507 of the Minister of Transport and Communications of the Republic of Lithuania dated 22 December 2006 and subsequent amendments;</w:t>
            </w:r>
          </w:p>
          <w:p w14:paraId="65085728"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12.29. Law of the Republic of Lithuania on Special Conditions of Land Use, approved by Order No. XIII-2166;</w:t>
            </w:r>
          </w:p>
          <w:p w14:paraId="0C0494DE" w14:textId="77777777" w:rsidR="00057A7F" w:rsidRPr="0045163B"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12.30. Commission Implementing Regulation (EU) No 402/2013 of 30 April 2013</w:t>
            </w:r>
            <w:r w:rsidRPr="0045163B">
              <w:rPr>
                <w:rFonts w:ascii="Arial" w:eastAsia="Arial" w:hAnsi="Arial" w:cs="Arial"/>
                <w:sz w:val="22"/>
                <w:szCs w:val="22"/>
                <w:lang w:val="en-US"/>
              </w:rPr>
              <w:t xml:space="preserve"> on the common safety method for risk evaluation and assessment and repealing Regulation (EC) No 352/2009;</w:t>
            </w:r>
          </w:p>
          <w:p w14:paraId="26CFBB6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12.31. Law on Noise Management of the Republic of Lithuania IX-2499;</w:t>
            </w:r>
          </w:p>
          <w:p w14:paraId="0A542A9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12.32. Lithuanian hygiene standard HN 33:2011 “Noise limit values ​​in residential and public buildings and their surroundings”, approved by Order of the Minister of Health of the Republic of Lithuania No. V-604 and subsequent amendments.</w:t>
            </w:r>
          </w:p>
          <w:p w14:paraId="59F2BF1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12.33. Law on Waste Management of the Republic of Lithuania No. VIII-787;</w:t>
            </w:r>
          </w:p>
          <w:p w14:paraId="5099C63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12.34. Rules for accounting and reporting of waste generation and management, approved by Order No. D1-367 of the Minister of the Environment of the Republic of Lithuania dated 3 May 2011</w:t>
            </w:r>
            <w:r w:rsidRPr="0045163B">
              <w:rPr>
                <w:rFonts w:ascii="Arial" w:hAnsi="Arial" w:cs="Arial"/>
                <w:sz w:val="22"/>
                <w:szCs w:val="22"/>
                <w:shd w:val="clear" w:color="auto" w:fill="FFFFFF"/>
                <w:lang w:val="en-US"/>
              </w:rPr>
              <w:t xml:space="preserve"> </w:t>
            </w:r>
            <w:r w:rsidRPr="0045163B">
              <w:rPr>
                <w:rFonts w:ascii="Arial" w:eastAsia="Arial" w:hAnsi="Arial" w:cs="Arial"/>
                <w:sz w:val="22"/>
                <w:szCs w:val="22"/>
                <w:lang w:val="en-US"/>
              </w:rPr>
              <w:t>and subsequent amendments;</w:t>
            </w:r>
          </w:p>
          <w:p w14:paraId="36555B2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12.35. Construction waste management rules approved by Order No. D1-637 of the Minister of the Environment of the Republic of Lithuania dated 29 December 2006 and subsequent amendments;</w:t>
            </w:r>
          </w:p>
          <w:p w14:paraId="0396019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12.36. LST EN 81-70:2021+A1:2022 Safety rules for construction and installation of elevators. Special application of passenger and cargo-passenger elevators. Part 70. Accessibility of lifts for persons including persons with disabilities “Safety rules for the construction and installation of lifts - Particular applications for passenger and goods passenger lift - Part 70: Accessibility to lifts for persons including persons with disability” EN 81-70:2021+A1:2022;</w:t>
            </w:r>
          </w:p>
          <w:p w14:paraId="2CC6E5D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12.37. Law on Energy of the Republic of Lithuania, No. IX-884 and subsequent amendments.</w:t>
            </w:r>
          </w:p>
          <w:p w14:paraId="656BBAC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12.38. Rules for the installation and development of the main gas pipeline, approved by the Order No. 1-12 of the Minister of Energy of the Republic of Lithuania dated 28 January 2014 and the latest valid amendments.</w:t>
            </w:r>
          </w:p>
          <w:p w14:paraId="70EA1A9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12.39. Rules for the protection of main gas pipelines, approved by the order of the Minister of Energy of the Republic of Lithuania of 16 July 2010 No. 1-213 and subsequent amendments.</w:t>
            </w:r>
          </w:p>
          <w:p w14:paraId="600A338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12.40. Law of the Republic of Lithuania on the Supervision of Potentially Dangerous Facilities, approved by Order No. I-1324 and subsequent amendments. </w:t>
            </w:r>
          </w:p>
          <w:p w14:paraId="026859E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12.41. Technical regulation of equipment and protection systems used in potentially explosive environments, approved by Order No. 432 of the Minister of Economy of the Republic of Lithuania of 27 December 1999 and subsequent amendments.</w:t>
            </w:r>
          </w:p>
          <w:p w14:paraId="784DB6C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12.42. Rules for the operation of the natural gas transmission system, approved by Order No. 1-128 of the Minister of Energy of the Republic of Lithuania of 5 July 2012 and subsequent amendments.</w:t>
            </w:r>
          </w:p>
          <w:p w14:paraId="586AC60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12.43. Rules for the protection of trunk oil pipelines and product pipelines, approved by Order No. 1-131 of the Minister of Energy of the Republic of Lithuania of 30 April 2010 and the latest valid amendments.</w:t>
            </w:r>
          </w:p>
          <w:p w14:paraId="133C703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12.44. When designing ESO-related gas networks, take into account: https://www.eso.lt/lt/eso-partneriams/projektuotojams_2205/duju-dalis.html</w:t>
            </w:r>
          </w:p>
          <w:p w14:paraId="10AA784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12.45. Other applicable requirements of legal acts and technical regulations valid in the EU and the Republic of Lithuania.</w:t>
            </w:r>
          </w:p>
          <w:p w14:paraId="76D50465"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12.46. The Supplier can familiarize itself with the legal acts governing design, installation, acceptance for operation and maintenance in the online database https://www.e-tar.lt/portal/lt/index .</w:t>
            </w:r>
          </w:p>
          <w:p w14:paraId="6516974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12.47. The Supplier, the persons employed by the Supplier, the goods proposed and supplied during the execution of the Contract (including components), their manufacturers or the services provided must not pose a threat to national security;</w:t>
            </w:r>
          </w:p>
          <w:p w14:paraId="2EB6003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12.48. The design documents must meet the requirements of normative legal acts, and the decisions based on them must be coordinated with the infrastructure development of the territory. Normative construction technical documents, mandatory for all construction participants: - Technical Construction Regulations, - legal acts of government-authorized institutions - PTR, KTR, HN, rules for installing electrical equipment, fire protection requirements, safety and health requirements, etc.</w:t>
            </w:r>
          </w:p>
          <w:p w14:paraId="1733292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12.49. The planned 1435 mm railway infrastructure must meet the main technical requirements set out in the Rail Baltica Design Guidelines (with amendments) approved on 27 April 2018 (Annex No. 1) (exceptions are allowed only when solutions are individually coordinated with the customer). </w:t>
            </w:r>
          </w:p>
          <w:p w14:paraId="20BDA71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12.50. Minimum general requirements for the building information model:</w:t>
            </w:r>
          </w:p>
          <w:p w14:paraId="26BFD78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Design Guidelines. Building Information Management (BIM) Manual (Annex No. 1).</w:t>
            </w:r>
          </w:p>
          <w:p w14:paraId="28BB218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must provide the </w:t>
            </w:r>
            <w:proofErr w:type="spellStart"/>
            <w:r w:rsidRPr="0045163B">
              <w:rPr>
                <w:rFonts w:ascii="Arial" w:eastAsia="Arial" w:hAnsi="Arial" w:cs="Arial"/>
                <w:sz w:val="22"/>
                <w:szCs w:val="22"/>
                <w:lang w:val="en-US"/>
              </w:rPr>
              <w:t>preBEP</w:t>
            </w:r>
            <w:proofErr w:type="spellEnd"/>
            <w:r w:rsidRPr="0045163B">
              <w:rPr>
                <w:rFonts w:ascii="Arial" w:eastAsia="Arial" w:hAnsi="Arial" w:cs="Arial"/>
                <w:sz w:val="22"/>
                <w:szCs w:val="22"/>
                <w:lang w:val="en-US"/>
              </w:rPr>
              <w:t xml:space="preserve"> documentation, which discusses the requirements agreed with the customers.</w:t>
            </w:r>
          </w:p>
          <w:p w14:paraId="2E02956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The Master detailed technical design is prepared in the BIM environment, so it must be ensured that the documents (drawings) of ``the graphic part and quantities of the project do not differ from the BIM model/models provided to the Customer.</w:t>
            </w:r>
          </w:p>
          <w:p w14:paraId="342999CF"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12.51. The Supplier shall carry out all the necessary tests required to obtain the approvals of the responsible authorities, in accordance with the valid legal acts, regulations, standards and other requirements specified in the Design Guidelines and </w:t>
            </w:r>
            <w:r w:rsidRPr="0045163B">
              <w:rPr>
                <w:rFonts w:ascii="Arial" w:eastAsia="Arial" w:hAnsi="Arial" w:cs="Arial"/>
                <w:sz w:val="22"/>
                <w:szCs w:val="22"/>
                <w:lang w:val="en-US"/>
              </w:rPr>
              <w:lastRenderedPageBreak/>
              <w:t>Additional Requirements for site tests (Annex No. 2). The topographic plan, including all mandatory approvals, must be no older than 3 years. The topographical plan must include safety zones for main lines of underground and aboveground engineering networks (if these zones are covered by the boundaries of the topographical plan), the depths and diameters of engineering networks should be marked, well cards should be drawn up, tree types and diameters should be marked, electrical support numbers should be written down.</w:t>
            </w:r>
          </w:p>
          <w:p w14:paraId="3AFE5F6F"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12.52. Manage existing green areas in accordance with the requirements of the current version of the Law on Green Areas of the Republic of Lithuania No. X-1241.</w:t>
            </w:r>
          </w:p>
          <w:p w14:paraId="4B9FF8D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12.53. The relocation and/or replacement of overhead power lines with underground cable lines must be carried out in accordance with the description of the procedure for connecting electrical devices of electricity producers and consumers to electricity networks approved by Order No. 1-127 of the Minister of Energy of the Republic of Lithuania on 4 June 2012, as well as other relevant legal acts and regulations.</w:t>
            </w:r>
          </w:p>
          <w:p w14:paraId="531B4AC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12.54. The calculated price of construction of a structure must be determined in accordance with the principles of determining this price, approved by STR 1.04.04:2017 “Structure design, project expertise”. The estimate must be calculated in accordance with the drawings of the prepared Master detailed technical design work quantity sheets and the recommendations of the calculated market prices of construction resources and economic norms valid at the time of the project implementation (registered Public Enterprise Construction Sector Development Agency).</w:t>
            </w:r>
          </w:p>
          <w:p w14:paraId="59112809"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12.55. KTR 1.01:2008 "Automobile Roads" approved by Order No D1-11/3-3-3 of the Minister of the Environment of the Republic of Lithuania and the Minister of Transport and Communications of the Republic of Lithuania of 9 January 2008, as well as subsequent amendments.</w:t>
            </w:r>
          </w:p>
          <w:p w14:paraId="0239B66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12.56. STR 2.06.04:2014 "Streets and local roads. General requirements" approved by the Minister of the Environment of the Republic of Lithuania on 2 December 2011 by Orders No D1-933 and subsequent amendments.</w:t>
            </w:r>
          </w:p>
          <w:p w14:paraId="7B16DAF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12.57. KPT SDK 19 "Rules for the Design of </w:t>
            </w:r>
            <w:proofErr w:type="spellStart"/>
            <w:r w:rsidRPr="0045163B">
              <w:rPr>
                <w:rFonts w:ascii="Arial" w:eastAsia="Arial" w:hAnsi="Arial" w:cs="Arial"/>
                <w:sz w:val="22"/>
                <w:szCs w:val="22"/>
                <w:lang w:val="en-US"/>
              </w:rPr>
              <w:t>Standardised</w:t>
            </w:r>
            <w:proofErr w:type="spellEnd"/>
            <w:r w:rsidRPr="0045163B">
              <w:rPr>
                <w:rFonts w:ascii="Arial" w:eastAsia="Arial" w:hAnsi="Arial" w:cs="Arial"/>
                <w:sz w:val="22"/>
                <w:szCs w:val="22"/>
                <w:lang w:val="en-US"/>
              </w:rPr>
              <w:t xml:space="preserve"> Pavement Structures for Road Roads" in accordance with the rules approved by the Director of the Lithuanian Road Directorate under the Ministry of Transport and Communications, dated 25 January 2019, No. V-16, as subsequently amended.</w:t>
            </w:r>
          </w:p>
          <w:p w14:paraId="36DC12C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12.58. Ministry of the Environment of the Republic of Lithuania 2024 September 30, order No. D1-320 Regarding the approval of the Construction Technical Regulation STR 2.01.12:2024 "Construction Climatology"</w:t>
            </w:r>
          </w:p>
          <w:p w14:paraId="61C2436D" w14:textId="33C81D74"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All newly adopted legal acts during the execution of the contract are also binding on the supplier, if they are related to the implementation of this project.</w:t>
            </w:r>
          </w:p>
        </w:tc>
      </w:tr>
      <w:tr w:rsidR="0055261E" w:rsidRPr="0045163B" w14:paraId="42A1AE50" w14:textId="77777777" w:rsidTr="00655ADD">
        <w:trPr>
          <w:trHeight w:val="104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CE90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A122B5"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Functional (purpose) and use (operational) requirements </w:t>
            </w:r>
            <w:r w:rsidRPr="0045163B">
              <w:rPr>
                <w:rFonts w:ascii="Arial" w:eastAsia="Arial" w:hAnsi="Arial" w:cs="Arial"/>
                <w:sz w:val="22"/>
                <w:szCs w:val="22"/>
                <w:lang w:val="en-US"/>
              </w:rPr>
              <w:lastRenderedPageBreak/>
              <w:t>for a structure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94DBDC" w14:textId="77777777" w:rsidR="0055261E" w:rsidRPr="0045163B" w:rsidRDefault="0055261E" w:rsidP="0055261E">
            <w:pPr>
              <w:spacing w:line="276" w:lineRule="auto"/>
              <w:jc w:val="both"/>
              <w:rPr>
                <w:rFonts w:ascii="Arial" w:eastAsia="Arial" w:hAnsi="Arial" w:cs="Arial"/>
                <w:strike/>
                <w:sz w:val="22"/>
                <w:szCs w:val="22"/>
                <w:highlight w:val="yellow"/>
                <w:lang w:val="en-US"/>
              </w:rPr>
            </w:pPr>
          </w:p>
          <w:p w14:paraId="26FA21B9" w14:textId="77777777" w:rsidR="0055261E" w:rsidRDefault="00925080" w:rsidP="0055261E">
            <w:pPr>
              <w:spacing w:line="276" w:lineRule="auto"/>
              <w:jc w:val="both"/>
              <w:rPr>
                <w:rFonts w:ascii="Arial" w:eastAsia="Arial" w:hAnsi="Arial" w:cs="Arial"/>
                <w:iCs/>
                <w:sz w:val="22"/>
                <w:szCs w:val="22"/>
                <w:lang w:val="en-US"/>
              </w:rPr>
            </w:pPr>
            <w:r w:rsidRPr="0045163B">
              <w:rPr>
                <w:rFonts w:ascii="Arial" w:eastAsia="Arial" w:hAnsi="Arial" w:cs="Arial"/>
                <w:iCs/>
                <w:sz w:val="22"/>
                <w:szCs w:val="22"/>
                <w:lang w:val="en-US"/>
              </w:rPr>
              <w:t>The functional requirements are described in clause 6.</w:t>
            </w:r>
          </w:p>
          <w:p w14:paraId="64EC857B" w14:textId="6F9A0987" w:rsidR="00883AF2" w:rsidRPr="007E7DE8" w:rsidRDefault="00883AF2" w:rsidP="00883AF2">
            <w:pPr>
              <w:spacing w:line="276" w:lineRule="auto"/>
              <w:jc w:val="both"/>
              <w:rPr>
                <w:rFonts w:ascii="Arial" w:eastAsia="Arial" w:hAnsi="Arial" w:cs="Arial"/>
                <w:sz w:val="22"/>
                <w:szCs w:val="22"/>
                <w:lang w:val="en-US"/>
              </w:rPr>
            </w:pPr>
            <w:r w:rsidRPr="69F35D03">
              <w:rPr>
                <w:rFonts w:ascii="Arial" w:eastAsia="Arial" w:hAnsi="Arial" w:cs="Arial"/>
                <w:sz w:val="22"/>
                <w:szCs w:val="22"/>
                <w:lang w:val="en-US"/>
              </w:rPr>
              <w:t xml:space="preserve">It is planned that the territory of the railway infrastructure maintenance depot will also be used as a construction base for the construction of the main railway line of Rail Baltica. In the area, construction materials, crushed stone ballast, rails, sleepers, turnouts, and various devices to support rail assembly work will be loaded and stored at the base. Construction base design </w:t>
            </w:r>
            <w:r w:rsidRPr="69F35D03">
              <w:rPr>
                <w:rFonts w:ascii="Arial" w:eastAsia="Arial" w:hAnsi="Arial" w:cs="Arial"/>
                <w:sz w:val="22"/>
                <w:szCs w:val="22"/>
                <w:lang w:val="en-US"/>
              </w:rPr>
              <w:lastRenderedPageBreak/>
              <w:t>shall be developed following Construction bases minimum requirements (</w:t>
            </w:r>
            <w:r>
              <w:rPr>
                <w:rFonts w:ascii="Arial" w:eastAsia="Arial" w:hAnsi="Arial" w:cs="Arial"/>
                <w:sz w:val="22"/>
                <w:szCs w:val="22"/>
                <w:lang w:val="en-US"/>
              </w:rPr>
              <w:t xml:space="preserve">Annex. 39 </w:t>
            </w:r>
            <w:r w:rsidRPr="69F35D03">
              <w:rPr>
                <w:rFonts w:ascii="Arial" w:eastAsia="Arial" w:hAnsi="Arial" w:cs="Arial"/>
                <w:sz w:val="22"/>
                <w:szCs w:val="22"/>
                <w:lang w:val="en-US"/>
              </w:rPr>
              <w:t xml:space="preserve">RB068-CMS-ZZ-ZZ-SPC-R-00001) </w:t>
            </w:r>
          </w:p>
          <w:p w14:paraId="769D0D3C" w14:textId="5DC0DF2B" w:rsidR="00883AF2" w:rsidRPr="0045163B" w:rsidRDefault="00883AF2" w:rsidP="0055261E">
            <w:pPr>
              <w:spacing w:line="276" w:lineRule="auto"/>
              <w:jc w:val="both"/>
              <w:rPr>
                <w:rFonts w:ascii="Arial" w:eastAsia="Arial" w:hAnsi="Arial" w:cs="Arial"/>
                <w:iCs/>
                <w:sz w:val="22"/>
                <w:szCs w:val="22"/>
                <w:highlight w:val="yellow"/>
                <w:lang w:val="en-US"/>
              </w:rPr>
            </w:pPr>
          </w:p>
        </w:tc>
      </w:tr>
      <w:tr w:rsidR="0055261E" w:rsidRPr="0045163B" w14:paraId="25A5403F"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ED93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DEFB8"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Requirements for the protection of environmental protection, health, protected area and immovable cultural heritage value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2A5BA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14.1. For the designed technical solutions, perform all necessary environmental and other necessary adjustments.</w:t>
            </w:r>
          </w:p>
          <w:p w14:paraId="55D73EA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14.2. When carrying out work in the cultural heritage register of objects and/or the protection zones of these objects, obtain the approval of the Department of Cultural Heritage.</w:t>
            </w:r>
          </w:p>
          <w:p w14:paraId="632AE182" w14:textId="2E93DC7E"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14.3. To prepare and submit for responsible institution all required documentation regarding foreseen relocation of cultural heritage object, as it is planned in EIA </w:t>
            </w:r>
          </w:p>
          <w:p w14:paraId="431393F7" w14:textId="3B3EDA6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14.4. The project must ensure the implementation of the measures provided for in the Environmental Impact Assessment report.</w:t>
            </w:r>
          </w:p>
        </w:tc>
      </w:tr>
      <w:tr w:rsidR="0055261E" w:rsidRPr="0045163B" w14:paraId="1AEE1F9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DC0A"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86C56"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Specific needs requirements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767F1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15.1. Optimal size and space – suitable width, height, size of spaces, structures and products.</w:t>
            </w:r>
          </w:p>
          <w:p w14:paraId="334C7A5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15.2 Complexity – the environment, structure or product has as many and various necessary elements as possible, which help to make the environment, structure or product accessible to people of various functional capabilities, for example, after installing a suitable entrance to the premises for everyone, it is necessary to equip other premises of the structure, for example a sanitary unit, etc.</w:t>
            </w:r>
          </w:p>
          <w:p w14:paraId="2CFAB2D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15.3 The prepared Project must ensure competition and not discriminate against suppliers (goods suppliers, service providers, contractors). The design may not indicate a specific model or source, a specific process or brand, patent, types, specific origin or production, which would favor or exclude certain companies or certain products during the procurement of construction works, and should also avoid excessive high and excessive detailing of design solutions, copies of specific technical brochures that would prevent broad competition.</w:t>
            </w:r>
          </w:p>
          <w:p w14:paraId="3B42A09B" w14:textId="236B4D9A"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15.4. When preparing the Master detailed technical design, it is necessary to ensure that all objects parallel to tracks of state significance (engineering networks, access tracks, paths, etc.) and communications are installed outside the lanes of tracks of state significance.</w:t>
            </w:r>
          </w:p>
          <w:p w14:paraId="71E6A30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The reconstruction of state tracks, the design of local tracks and railways and structures is carried out in accordance with the requirements of technical regulations, legal acts and the issued design conditions.</w:t>
            </w:r>
          </w:p>
          <w:p w14:paraId="39C29E4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15.5. The Supplier, the persons employed by the Supplier, the goods proposed and supplied during the execution of the Agreement (including components), their manufacturers or the services provided must not pose a threat to national security. </w:t>
            </w:r>
          </w:p>
          <w:p w14:paraId="54CD245A"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4F5EE3B1"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FB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28DB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Technical, qualitative (aesthetic, comfort, energy efficiency, noise level, etc.) requirements according to parts of the structural project solutions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52E54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16.1. The solutions of the construction project must be economically justified and rational, making it possible to install the object in the shortest possible period of construction work and to operate it at the lowest costs. The Customer reserves the right to disagree with the proposed solutions and/or to submit comments to them, if it is possible to reduce the installation/operating costs by refining the solutions.</w:t>
            </w:r>
          </w:p>
          <w:p w14:paraId="5178BF6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project must comply with the requirements of Commission Regulation (EU) No 1299/2014 of 18 November 2014 on the technical specifications for interoperability relating to the ‘infrastructure’ subsystem of the rail system in the European Union  and Commission Regulation (EU) No 1300/2014 of 18 November 2014 on the technical specifications for interoperability relating to accessibility of the Union’s rail system for persons with disabilities and persons with reduced mobility.</w:t>
            </w:r>
          </w:p>
          <w:p w14:paraId="2D07486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16.2. The Supplier must use technologies that allow maximum use of railway mechanisms and machines for the execution of works and minimize traffic interruptions, after coordination with the responsible services of the Customer.</w:t>
            </w:r>
          </w:p>
          <w:p w14:paraId="2D73A5A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16.3. The Supplier must foresee the sequence of works and prepare the work organization procedure, taking into account traffic safety requirements.</w:t>
            </w:r>
          </w:p>
          <w:p w14:paraId="0B2C90F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16.4. The Supplier must actively participate in finding optimal solutions for the specified tasks, as well as in solving additional issues that are not mentioned in the design Technical Task, but which must be additionally implemented in the project.</w:t>
            </w:r>
          </w:p>
          <w:p w14:paraId="30FD1C4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16.5. The railway track layout plan is prepared in analog and digital form at a scale of 1:500.</w:t>
            </w:r>
          </w:p>
          <w:p w14:paraId="48225EA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Transverse profiles of railway tracks are performed at least every 100 m, at curves at least every 20 m and at critical points (special places).</w:t>
            </w:r>
          </w:p>
          <w:p w14:paraId="66B94C5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16.6. The longitudinal profile of the railway tracks is prepared on a scale: horizontal 1:1000, vertical 1:100.</w:t>
            </w:r>
          </w:p>
          <w:p w14:paraId="08ABE14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16.7. The Supplier must provide for the organization of the work without completely interrupting train traffic, but only with minimal traffic interruptions as much as possible.</w:t>
            </w:r>
          </w:p>
          <w:p w14:paraId="1231BE67"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20E9DA57"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B977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06B9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Instructions for coordinating solutions, their approval, etc.</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9445B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17.1. All project parts and solutions must be coordinated with each other.</w:t>
            </w:r>
          </w:p>
          <w:p w14:paraId="46B05C3E" w14:textId="7E06393B"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sz w:val="22"/>
                <w:szCs w:val="22"/>
                <w:lang w:val="en-US"/>
              </w:rPr>
              <w:t>17.2. The project must be coordinated with AB LTG Infra, and other organizations setting the conditions, all necessary written approvals and consents must be obtained in accordance with the requirements of the legal acts regulating construction.</w:t>
            </w:r>
            <w:r w:rsidR="00DD7B43" w:rsidRPr="0045163B">
              <w:rPr>
                <w:rFonts w:ascii="Arial" w:eastAsia="Arial" w:hAnsi="Arial" w:cs="Arial"/>
                <w:color w:val="FF0000"/>
                <w:sz w:val="22"/>
                <w:szCs w:val="22"/>
                <w:lang w:val="en-US"/>
              </w:rPr>
              <w:t xml:space="preserve"> </w:t>
            </w:r>
            <w:r w:rsidR="00DD7B43" w:rsidRPr="0045163B">
              <w:rPr>
                <w:rFonts w:ascii="Arial" w:eastAsia="Arial" w:hAnsi="Arial" w:cs="Arial"/>
                <w:sz w:val="22"/>
                <w:szCs w:val="22"/>
                <w:lang w:val="en-US"/>
              </w:rPr>
              <w:t>RB Rail AS will verify compliance with the Design Guidelines and all communication will be through the customer.</w:t>
            </w:r>
          </w:p>
          <w:p w14:paraId="02DE02D5"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17.3.</w:t>
            </w:r>
            <w:r w:rsidRPr="0045163B">
              <w:rPr>
                <w:rFonts w:ascii="Arial" w:eastAsia="Arial" w:hAnsi="Arial" w:cs="Arial"/>
                <w:i/>
                <w:sz w:val="22"/>
                <w:szCs w:val="22"/>
                <w:lang w:val="en-US"/>
              </w:rPr>
              <w:t xml:space="preserve"> </w:t>
            </w:r>
            <w:r w:rsidRPr="0045163B">
              <w:rPr>
                <w:rFonts w:ascii="Arial" w:eastAsia="Arial" w:hAnsi="Arial" w:cs="Arial"/>
                <w:sz w:val="22"/>
                <w:szCs w:val="22"/>
                <w:lang w:val="en-US"/>
              </w:rPr>
              <w:t>Before the approval of the Project, the designer must visually present (*ppt or other selected format slides) the prepared Project and comment on the main design solutions and indicate the compliance of the Project solutions with the design task.</w:t>
            </w:r>
          </w:p>
          <w:p w14:paraId="19A206EB" w14:textId="20071A3E"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17.4. When submitting the Master detailed technical design for re-adjustment after comments, the Supplier must prepare a summary of corrected (corrected) areas, which must include: a reference to the corrected part of the project, information on what is being corrected, what problem is solved with detailed explanations and justifications, a comparative var is presented indicating how it was before of revision and as revised. Newly made changes (corrections) should be highlighted. It is recommended to submit the summary of project corrections in the form of a table.</w:t>
            </w:r>
          </w:p>
          <w:p w14:paraId="36FEB5B0" w14:textId="77777777" w:rsidR="0055261E" w:rsidRPr="0045163B" w:rsidRDefault="0055261E" w:rsidP="0055261E">
            <w:pPr>
              <w:spacing w:line="276" w:lineRule="auto"/>
              <w:jc w:val="both"/>
              <w:rPr>
                <w:rFonts w:ascii="Arial" w:eastAsia="Arial" w:hAnsi="Arial" w:cs="Arial"/>
                <w:sz w:val="22"/>
                <w:szCs w:val="22"/>
                <w:lang w:val="en-US"/>
              </w:rPr>
            </w:pPr>
          </w:p>
          <w:p w14:paraId="30D7AA69"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35E38C3E"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B52B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D071"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Sequence of design and construction of a structure or a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1B7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18.1. Introductory report;</w:t>
            </w:r>
          </w:p>
          <w:p w14:paraId="6CD91D6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18.2. Service progress reports.</w:t>
            </w:r>
          </w:p>
          <w:p w14:paraId="5A5C7A4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18.3. Engineering surveys (topographical, geodetic, geological and geotechnical).</w:t>
            </w:r>
          </w:p>
          <w:p w14:paraId="75AD830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18.4. Design proposals and obtaining a construction permit.</w:t>
            </w:r>
          </w:p>
          <w:p w14:paraId="67728E3A" w14:textId="5AA0FCF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18.5. Master Detailed Technical design.</w:t>
            </w:r>
          </w:p>
          <w:p w14:paraId="309B7B5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18.6. Obtaining positive examination conclusions, performing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DeBo</w:t>
            </w:r>
            <w:proofErr w:type="spellEnd"/>
            <w:r w:rsidRPr="0045163B">
              <w:rPr>
                <w:rFonts w:ascii="Arial" w:eastAsia="Arial" w:hAnsi="Arial" w:cs="Arial"/>
                <w:sz w:val="22"/>
                <w:szCs w:val="22"/>
                <w:lang w:val="en-US"/>
              </w:rPr>
              <w:t xml:space="preserve"> assessment (after receiving the Customer’s agreement, approval).</w:t>
            </w:r>
          </w:p>
          <w:p w14:paraId="183E29D4" w14:textId="677710C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18.7. Design </w:t>
            </w:r>
            <w:proofErr w:type="spellStart"/>
            <w:r w:rsidRPr="0045163B">
              <w:rPr>
                <w:rFonts w:ascii="Arial" w:eastAsia="Arial" w:hAnsi="Arial" w:cs="Arial"/>
                <w:sz w:val="22"/>
                <w:szCs w:val="22"/>
                <w:lang w:val="en-US"/>
              </w:rPr>
              <w:t>implemetation</w:t>
            </w:r>
            <w:proofErr w:type="spellEnd"/>
            <w:r w:rsidRPr="0045163B">
              <w:rPr>
                <w:rFonts w:ascii="Arial" w:eastAsia="Arial" w:hAnsi="Arial" w:cs="Arial"/>
                <w:sz w:val="22"/>
                <w:szCs w:val="22"/>
                <w:lang w:val="en-US"/>
              </w:rPr>
              <w:t xml:space="preserve"> supervision.</w:t>
            </w:r>
          </w:p>
          <w:p w14:paraId="7196D064" w14:textId="77777777" w:rsidR="0055261E" w:rsidRPr="0045163B" w:rsidRDefault="0055261E" w:rsidP="0055261E">
            <w:pPr>
              <w:jc w:val="both"/>
              <w:rPr>
                <w:rFonts w:ascii="Arial" w:eastAsia="Arial" w:hAnsi="Arial" w:cs="Arial"/>
                <w:sz w:val="22"/>
                <w:szCs w:val="22"/>
                <w:lang w:val="en-US"/>
              </w:rPr>
            </w:pPr>
          </w:p>
          <w:p w14:paraId="34FF1C98"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52F4A9A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A42D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8A65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Management and automation of design processes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8F78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19.1. During the entire contract implementation period, the Supplier will have to prepare and manage the calendar work schedule with Oracle Primavera P6 software, for the use of which the Customer will provide one free access/license for working with the project. After coordination with the Customer, periodically (at least once a month) update the project progress information for project management.</w:t>
            </w:r>
          </w:p>
          <w:p w14:paraId="693CF1DD" w14:textId="2F534AC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Detailed requirements are presented in Annexes No. 15 16, 17, 18.</w:t>
            </w:r>
          </w:p>
          <w:p w14:paraId="6D072C0D" w14:textId="77777777" w:rsidR="0055261E" w:rsidRPr="0045163B" w:rsidRDefault="0055261E" w:rsidP="0055261E">
            <w:pPr>
              <w:spacing w:line="276" w:lineRule="auto"/>
              <w:jc w:val="both"/>
              <w:rPr>
                <w:rFonts w:ascii="Arial" w:eastAsia="Arial" w:hAnsi="Arial" w:cs="Arial"/>
                <w:i/>
                <w:sz w:val="22"/>
                <w:szCs w:val="22"/>
                <w:lang w:val="en-US"/>
              </w:rPr>
            </w:pPr>
          </w:p>
        </w:tc>
      </w:tr>
      <w:tr w:rsidR="0055261E" w:rsidRPr="0045163B" w14:paraId="22791E8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7FE3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E773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Requirements for the language(s) of project preparation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E616FC"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20.1. The project documentation must be prepared in the national and English languages.</w:t>
            </w:r>
          </w:p>
          <w:p w14:paraId="302A927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20.2. Translations of the Project and parts of the Project into foreign languages ​​are organized by the Service Provider at its own expense. Translations of text documents are signed only by translators, drawings by translators and other specified persons (the structural designer or its authorized person, the structural project manager, the structural project part managers and the structural project developer). </w:t>
            </w:r>
          </w:p>
        </w:tc>
      </w:tr>
      <w:tr w:rsidR="0055261E" w:rsidRPr="0045163B" w14:paraId="20DF853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2F0E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DA2A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Instructions for </w:t>
            </w:r>
            <w:r w:rsidRPr="0045163B">
              <w:rPr>
                <w:rFonts w:ascii="Arial" w:eastAsia="Arial" w:hAnsi="Arial" w:cs="Arial"/>
                <w:sz w:val="22"/>
                <w:szCs w:val="22"/>
                <w:lang w:val="en-US"/>
              </w:rPr>
              <w:lastRenderedPageBreak/>
              <w:t>the compilation, formalization and submission of construction project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ED0404" w14:textId="549767F3"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21.1. Project documentation must be prepared in accordance with LST 1516 “Building project. General formalization requirements”, and according to the submitted requirements for numbering, names and codes of project documents (Annexes </w:t>
            </w:r>
            <w:r w:rsidRPr="0045163B">
              <w:rPr>
                <w:rFonts w:ascii="Arial" w:eastAsia="Arial" w:hAnsi="Arial" w:cs="Arial"/>
                <w:sz w:val="22"/>
                <w:szCs w:val="22"/>
                <w:lang w:val="en-US"/>
              </w:rPr>
              <w:lastRenderedPageBreak/>
              <w:t>No. 19, 20).</w:t>
            </w:r>
          </w:p>
          <w:p w14:paraId="382CFEAA" w14:textId="3663DCDD"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21.2. The agreed and approved design proposals and Master </w:t>
            </w:r>
            <w:proofErr w:type="spellStart"/>
            <w:r w:rsidRPr="0045163B">
              <w:rPr>
                <w:rFonts w:ascii="Arial" w:eastAsia="Arial" w:hAnsi="Arial" w:cs="Arial"/>
                <w:sz w:val="22"/>
                <w:szCs w:val="22"/>
                <w:lang w:val="en-US"/>
              </w:rPr>
              <w:t>detaitled</w:t>
            </w:r>
            <w:proofErr w:type="spellEnd"/>
            <w:r w:rsidRPr="0045163B">
              <w:rPr>
                <w:rFonts w:ascii="Arial" w:eastAsia="Arial" w:hAnsi="Arial" w:cs="Arial"/>
                <w:sz w:val="22"/>
                <w:szCs w:val="22"/>
                <w:lang w:val="en-US"/>
              </w:rPr>
              <w:t xml:space="preserve"> technical design is submitted in 1 copy </w:t>
            </w:r>
            <w:r w:rsidRPr="0045163B">
              <w:rPr>
                <w:rFonts w:ascii="Arial" w:eastAsia="Arial" w:hAnsi="Arial" w:cs="Arial"/>
                <w:i/>
                <w:iCs/>
                <w:sz w:val="22"/>
                <w:szCs w:val="22"/>
                <w:lang w:val="en-US"/>
              </w:rPr>
              <w:t>*.pdf, *.jpg</w:t>
            </w:r>
            <w:r w:rsidRPr="0045163B">
              <w:rPr>
                <w:rFonts w:ascii="Arial" w:eastAsia="Arial" w:hAnsi="Arial" w:cs="Arial"/>
                <w:sz w:val="22"/>
                <w:szCs w:val="22"/>
                <w:lang w:val="en-US"/>
              </w:rPr>
              <w:t xml:space="preserve"> format, signed with electronic signatures analogous to the paper files created, 1 copy in editable formats (*.docx, *.xlsx, *.dwg and others). Also, all layers/surfaces of the designed railway track embankments and superstructure must be provided in .xml format.</w:t>
            </w:r>
          </w:p>
          <w:p w14:paraId="5A27B154" w14:textId="3984CC7E" w:rsidR="0055261E" w:rsidRPr="0045163B" w:rsidRDefault="0055261E" w:rsidP="0055261E">
            <w:pPr>
              <w:spacing w:line="276" w:lineRule="auto"/>
              <w:jc w:val="both"/>
              <w:rPr>
                <w:rFonts w:ascii="Arial" w:eastAsia="Arial" w:hAnsi="Arial" w:cs="Arial"/>
                <w:b/>
                <w:bCs/>
                <w:i/>
                <w:iCs/>
                <w:sz w:val="22"/>
                <w:szCs w:val="22"/>
                <w:lang w:val="en-US"/>
              </w:rPr>
            </w:pPr>
            <w:r w:rsidRPr="0045163B">
              <w:rPr>
                <w:rFonts w:ascii="Arial" w:eastAsia="Arial" w:hAnsi="Arial" w:cs="Arial"/>
                <w:sz w:val="22"/>
                <w:szCs w:val="22"/>
                <w:lang w:val="en-US"/>
              </w:rPr>
              <w:t xml:space="preserve">21.3. Also, the Supplier must submit a digital personalized copy of project proposals and the project in accordance with the requirements of the GDPR and the Construction Law of the Republic of Lithuania. In the attached documents submitted in the Master detailed technical design (orders, authorizations, qualification certificates, etc.), redundant personal data (date of birth, personal code, signature or other personal data) should not be made public, </w:t>
            </w:r>
            <w:r w:rsidRPr="0045163B">
              <w:rPr>
                <w:rFonts w:ascii="Arial" w:eastAsia="Arial" w:hAnsi="Arial" w:cs="Arial"/>
                <w:b/>
                <w:bCs/>
                <w:i/>
                <w:iCs/>
                <w:sz w:val="22"/>
                <w:szCs w:val="22"/>
                <w:lang w:val="en-US"/>
              </w:rPr>
              <w:t>i.e. the designer must cover (hide) redundant data and make public according to the following e.g.:</w:t>
            </w:r>
          </w:p>
          <w:p w14:paraId="48A21919" w14:textId="77777777" w:rsidR="0055261E" w:rsidRPr="0045163B" w:rsidRDefault="0055261E" w:rsidP="0055261E">
            <w:pPr>
              <w:spacing w:line="276" w:lineRule="auto"/>
              <w:jc w:val="both"/>
              <w:rPr>
                <w:rFonts w:ascii="Arial" w:eastAsia="Arial" w:hAnsi="Arial" w:cs="Arial"/>
                <w:sz w:val="22"/>
                <w:szCs w:val="22"/>
                <w:lang w:val="en-US"/>
              </w:rPr>
            </w:pPr>
          </w:p>
          <w:tbl>
            <w:tblPr>
              <w:tblW w:w="642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00" w:firstRow="0" w:lastRow="0" w:firstColumn="0" w:lastColumn="0" w:noHBand="0" w:noVBand="1"/>
            </w:tblPr>
            <w:tblGrid>
              <w:gridCol w:w="6420"/>
            </w:tblGrid>
            <w:tr w:rsidR="0055261E" w:rsidRPr="0045163B" w14:paraId="090B273D"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B98C629"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a. Designers: names, numbers of qualification certificates </w:t>
                  </w:r>
                  <w:r w:rsidRPr="0045163B">
                    <w:rPr>
                      <w:rFonts w:ascii="Arial" w:eastAsia="Arial" w:hAnsi="Arial" w:cs="Arial"/>
                      <w:b/>
                      <w:sz w:val="22"/>
                      <w:szCs w:val="22"/>
                      <w:lang w:val="en-US"/>
                    </w:rPr>
                    <w:t>(do not need to be hidden)</w:t>
                  </w:r>
                  <w:r w:rsidRPr="0045163B">
                    <w:rPr>
                      <w:rFonts w:ascii="Arial" w:eastAsia="Arial" w:hAnsi="Arial" w:cs="Arial"/>
                      <w:sz w:val="22"/>
                      <w:szCs w:val="22"/>
                      <w:lang w:val="en-US"/>
                    </w:rPr>
                    <w:t xml:space="preserve">, phone numbers and e-mails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2FCB1B11"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31440F8A"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b. Names and surnames of surveyors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3C01A8B4"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2A3A71DD"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c. In the drawings, the names of the owners of the adjacent plots: names, surnames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4668AE0C"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880DE83" w14:textId="63D2B7D4"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d. In reconciliation letters: names, surnames, addresses, phone numbers, e-mails of the private people–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789CCEDE"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FDE39DE"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e. Names, surnames, telephone and e-mails of representatives of institutions and companies in coordination letters or tables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3B514226"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6923ED1"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f. Names and surnames in lists of publicly available literature (literature is found) – </w:t>
                  </w:r>
                  <w:r w:rsidRPr="0045163B">
                    <w:rPr>
                      <w:rFonts w:ascii="Arial" w:eastAsia="Arial" w:hAnsi="Arial" w:cs="Arial"/>
                      <w:b/>
                      <w:sz w:val="22"/>
                      <w:szCs w:val="22"/>
                      <w:lang w:val="en-US"/>
                    </w:rPr>
                    <w:t>do not need to be hidden.</w:t>
                  </w:r>
                  <w:r w:rsidRPr="0045163B">
                    <w:rPr>
                      <w:rFonts w:ascii="Arial" w:eastAsia="Arial" w:hAnsi="Arial" w:cs="Arial"/>
                      <w:sz w:val="22"/>
                      <w:szCs w:val="22"/>
                      <w:lang w:val="en-US"/>
                    </w:rPr>
                    <w:t> </w:t>
                  </w:r>
                </w:p>
              </w:tc>
            </w:tr>
            <w:tr w:rsidR="0055261E" w:rsidRPr="0045163B" w14:paraId="40269895"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24CFCCA"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g. Messages for private persons in personal mail documents: names, contact information, addresses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bl>
          <w:p w14:paraId="29D6B04F"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w:t>
            </w:r>
          </w:p>
          <w:p w14:paraId="53927B58" w14:textId="3FAA5FBC"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21.4. The Supplier must submit a corrected full-scale Master detailed  technical design free of charge:</w:t>
            </w:r>
          </w:p>
          <w:p w14:paraId="1226CA4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After the inquiries submitted during the procurement of contract works - answers;</w:t>
            </w:r>
          </w:p>
          <w:p w14:paraId="1EA6B25A" w14:textId="0515BBE4" w:rsidR="0055261E" w:rsidRPr="0045163B" w:rsidRDefault="0055261E" w:rsidP="0055261E">
            <w:pPr>
              <w:tabs>
                <w:tab w:val="left" w:pos="0"/>
                <w:tab w:val="left" w:pos="720"/>
              </w:tabs>
              <w:rPr>
                <w:rFonts w:ascii="Arial" w:eastAsia="Arial" w:hAnsi="Arial" w:cs="Arial"/>
                <w:sz w:val="22"/>
                <w:szCs w:val="22"/>
                <w:lang w:val="en-US"/>
              </w:rPr>
            </w:pPr>
            <w:r w:rsidRPr="0045163B">
              <w:rPr>
                <w:rFonts w:ascii="Arial" w:eastAsia="Arial" w:hAnsi="Arial" w:cs="Arial"/>
                <w:sz w:val="22"/>
                <w:szCs w:val="22"/>
                <w:lang w:val="en-US"/>
              </w:rPr>
              <w:t>- After substantial changes to the Master detailed technical design, including non-substantial changes prior to that time.</w:t>
            </w:r>
          </w:p>
          <w:p w14:paraId="60C9945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21.5. The Supplier undertakes to carry out all the procedures required by the applicable legislation and to obtain and/or correct </w:t>
            </w:r>
            <w:r w:rsidRPr="0045163B">
              <w:rPr>
                <w:rFonts w:ascii="Arial" w:eastAsia="Arial" w:hAnsi="Arial" w:cs="Arial"/>
                <w:sz w:val="22"/>
                <w:szCs w:val="22"/>
                <w:lang w:val="en-US"/>
              </w:rPr>
              <w:lastRenderedPageBreak/>
              <w:t>the document authorizing the construction, if the project solutions change during the implementation of the contract (due to questions raised by the participants in the procurement or due to other unforeseen circumstances).</w:t>
            </w:r>
          </w:p>
          <w:p w14:paraId="79BBE379" w14:textId="77777777" w:rsidR="0055261E" w:rsidRPr="0045163B" w:rsidRDefault="0055261E" w:rsidP="0055261E">
            <w:pPr>
              <w:tabs>
                <w:tab w:val="left" w:pos="720"/>
              </w:tabs>
              <w:jc w:val="both"/>
              <w:rPr>
                <w:rFonts w:ascii="Arial" w:eastAsia="Arial" w:hAnsi="Arial" w:cs="Arial"/>
                <w:sz w:val="22"/>
                <w:szCs w:val="22"/>
                <w:lang w:val="en-US"/>
              </w:rPr>
            </w:pPr>
            <w:r w:rsidRPr="0045163B">
              <w:rPr>
                <w:rFonts w:ascii="Arial" w:eastAsia="Arial" w:hAnsi="Arial" w:cs="Arial"/>
                <w:sz w:val="22"/>
                <w:szCs w:val="22"/>
                <w:lang w:val="en-US"/>
              </w:rPr>
              <w:t>21.6. The Supplier undertakes to provide the customer with the final (updated) project documentation with all the changes made before the takeover certificate.</w:t>
            </w:r>
          </w:p>
          <w:p w14:paraId="3F495A8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21.7. A digital version of the construction permit document with the metadata of the civil servant who signed it.</w:t>
            </w:r>
          </w:p>
          <w:p w14:paraId="16263772" w14:textId="77777777" w:rsidR="0055261E" w:rsidRPr="0045163B" w:rsidRDefault="0055261E" w:rsidP="0055261E">
            <w:pPr>
              <w:tabs>
                <w:tab w:val="left" w:pos="0"/>
                <w:tab w:val="left" w:pos="720"/>
              </w:tabs>
              <w:jc w:val="both"/>
              <w:rPr>
                <w:rFonts w:ascii="Arial" w:eastAsia="Arial" w:hAnsi="Arial" w:cs="Arial"/>
                <w:sz w:val="22"/>
                <w:szCs w:val="22"/>
                <w:lang w:val="en-US"/>
              </w:rPr>
            </w:pPr>
            <w:r w:rsidRPr="0045163B">
              <w:rPr>
                <w:rFonts w:ascii="Arial" w:eastAsia="Arial" w:hAnsi="Arial" w:cs="Arial"/>
                <w:sz w:val="22"/>
                <w:szCs w:val="22"/>
                <w:lang w:val="en-US"/>
              </w:rPr>
              <w:t>21.8. In the case of preparation of a new issue of structural project decision documents, the Supplier (Designer) must describe essential and non-essential changes (in comparison with the previous issue of project decision documents), indicate the documents on the basis of which the project is changed. Changes must be described in an explanatory note, with references to where and why the change was made. In addition, the construction project documents must be formalized in accordance with the LST 1516 standard, indicating the issue of the document, the date of issue, and the reason for the change.</w:t>
            </w:r>
          </w:p>
          <w:p w14:paraId="6BD18F9B" w14:textId="77777777" w:rsidR="0055261E" w:rsidRPr="0045163B" w:rsidRDefault="0055261E" w:rsidP="0055261E">
            <w:pPr>
              <w:spacing w:line="276" w:lineRule="auto"/>
              <w:jc w:val="both"/>
              <w:rPr>
                <w:rFonts w:ascii="Arial" w:eastAsia="Arial" w:hAnsi="Arial" w:cs="Arial"/>
                <w:sz w:val="22"/>
                <w:szCs w:val="22"/>
                <w:lang w:val="en-US"/>
              </w:rPr>
            </w:pPr>
          </w:p>
          <w:p w14:paraId="238601FE"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29964796"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87A85"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22.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1F14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Performance of expertise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EA6D6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22.1. Expertise of the project prepared by the Supplier is organized and paid for by the Customer</w:t>
            </w:r>
          </w:p>
        </w:tc>
      </w:tr>
      <w:tr w:rsidR="0055261E" w:rsidRPr="0045163B" w14:paraId="0C6D847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A2511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11D5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Quality control</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E11F3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23.1. The Supplier must have an ISO 9001 certificate corresponding to the scope of work or have an ISO 9001 equivalent management system approved by a certifying third party. The quality management organization must be clearly defined (and must be adequately resourced to perform its roles and responsibilities successfully).</w:t>
            </w:r>
          </w:p>
          <w:p w14:paraId="11709A3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23.2. Supplier’s personnel involved in quality assurance and quality control must have demonstrable experience or qualifications and have clearly defined responsibilities and organizational freedom to identify and evaluate quality problems.</w:t>
            </w:r>
          </w:p>
          <w:p w14:paraId="0731F44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23.3. The Supplier appoints a quality manager. The Quality Manager must have internal/external audit certification and the QA staff must have audit experience commensurate with their duties.</w:t>
            </w:r>
          </w:p>
          <w:p w14:paraId="515FAE4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23.4. All Supplier employees must have job descriptions with defined duties and responsibilities, including responsibilities related to quality, safety and environmental protection.</w:t>
            </w:r>
          </w:p>
          <w:p w14:paraId="5FFD1510" w14:textId="2AFD703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23.5. The Supplier’s Quality Management Plan must be aligned with ISO 10005 - Guidelines for Quality Management Plans, in particular taking into account Section 6 - Content of the Quality Plan, Annex C and the Customer’s Quality Management Plan.</w:t>
            </w:r>
          </w:p>
          <w:p w14:paraId="34F6BD90" w14:textId="4C5F30B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23.6. Design quality management must include workflow and quality records. Documented processes include, but are not limited to:</w:t>
            </w:r>
          </w:p>
          <w:p w14:paraId="2F429FB2" w14:textId="77777777" w:rsidR="0055261E" w:rsidRPr="0045163B" w:rsidRDefault="0055261E" w:rsidP="00925080">
            <w:pPr>
              <w:widowControl/>
              <w:numPr>
                <w:ilvl w:val="0"/>
                <w:numId w:val="14"/>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Verification and approval;</w:t>
            </w:r>
          </w:p>
          <w:p w14:paraId="132BA66F"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configuration management;</w:t>
            </w:r>
          </w:p>
          <w:p w14:paraId="7DC6EE24"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Building Information Modeling (BIM);</w:t>
            </w:r>
          </w:p>
          <w:p w14:paraId="4296C915"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Reliability, availability, maintainability, and safety (RAMS);</w:t>
            </w:r>
          </w:p>
          <w:p w14:paraId="662C6030"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Interoperability of the railway system in the European Union;</w:t>
            </w:r>
          </w:p>
          <w:p w14:paraId="6ED2CD35" w14:textId="77777777" w:rsidR="0055261E" w:rsidRPr="0045163B" w:rsidRDefault="0055261E" w:rsidP="00925080">
            <w:pPr>
              <w:widowControl/>
              <w:numPr>
                <w:ilvl w:val="0"/>
                <w:numId w:val="12"/>
              </w:numPr>
              <w:pBdr>
                <w:top w:val="nil"/>
                <w:left w:val="nil"/>
                <w:bottom w:val="nil"/>
                <w:right w:val="nil"/>
                <w:between w:val="nil"/>
              </w:pBd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Document management.</w:t>
            </w:r>
          </w:p>
        </w:tc>
      </w:tr>
      <w:tr w:rsidR="0055261E" w:rsidRPr="0045163B" w14:paraId="72143681" w14:textId="77777777" w:rsidTr="00655ADD">
        <w:tc>
          <w:tcPr>
            <w:tcW w:w="148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832A9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b/>
                <w:sz w:val="22"/>
                <w:szCs w:val="22"/>
                <w:lang w:val="en-US"/>
              </w:rPr>
              <w:lastRenderedPageBreak/>
              <w:t>IV. Requirements for compliance with national security interests</w:t>
            </w:r>
          </w:p>
        </w:tc>
      </w:tr>
      <w:tr w:rsidR="0055261E" w:rsidRPr="0045163B" w14:paraId="75F0EECC"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03440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529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24.1. Requirement according to Part 8 of Article 37 of the Law on Public Procurement/</w:t>
            </w:r>
          </w:p>
          <w:p w14:paraId="5992765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Part 8 of Article 50 of the Law</w:t>
            </w:r>
            <w:r w:rsidRPr="0045163B">
              <w:rPr>
                <w:lang w:val="en-US"/>
              </w:rPr>
              <w:t xml:space="preserve"> </w:t>
            </w:r>
            <w:proofErr w:type="spellStart"/>
            <w:r w:rsidRPr="0045163B">
              <w:rPr>
                <w:rFonts w:ascii="Arial" w:eastAsia="Arial" w:hAnsi="Arial" w:cs="Arial"/>
                <w:sz w:val="22"/>
                <w:szCs w:val="22"/>
                <w:lang w:val="en-US"/>
              </w:rPr>
              <w:t>Law</w:t>
            </w:r>
            <w:proofErr w:type="spellEnd"/>
            <w:r w:rsidRPr="0045163B">
              <w:rPr>
                <w:rFonts w:ascii="Arial" w:eastAsia="Arial" w:hAnsi="Arial" w:cs="Arial"/>
                <w:sz w:val="22"/>
                <w:szCs w:val="22"/>
                <w:lang w:val="en-US"/>
              </w:rPr>
              <w:t xml:space="preserve"> of the Republic of Lithuania on Procurement by Contracting Authorities Operating in the Water, Energy, Transport or Postal Services Sectors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4D79D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goods (including their manufacturers), services or works proposed by the supplier must not pose a threat to national security. It is considered that the goods (including their manufacturers), services or works proposed by the supplier pose a threat to national security, when the Government of the Republic of Lithuania has adopted a decision confirming that the intended transaction does not meet the interests of national security in accordance with the Law on the Protection of Important Objects for National Security. At the time of procurement, during the verification of compliance with national security interests, the Supplier will have to provide the necessary documents for such verification.</w:t>
            </w:r>
          </w:p>
        </w:tc>
      </w:tr>
      <w:tr w:rsidR="0055261E" w:rsidRPr="0045163B" w14:paraId="6628FEE2" w14:textId="77777777" w:rsidTr="00655ADD">
        <w:tc>
          <w:tcPr>
            <w:tcW w:w="148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74D29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b/>
                <w:sz w:val="22"/>
                <w:szCs w:val="22"/>
                <w:lang w:val="en-US"/>
              </w:rPr>
              <w:t xml:space="preserve">V. Requirements for compliance with General Data Protection Regulation (GDPR) </w:t>
            </w:r>
          </w:p>
        </w:tc>
      </w:tr>
      <w:tr w:rsidR="0055261E" w:rsidRPr="0045163B" w14:paraId="0A925C14"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83A04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F3D36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25.1. Personal Data Protection (Art. 32 of GDPR) and Adapted/</w:t>
            </w:r>
          </w:p>
          <w:p w14:paraId="1910103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Standardized Personal Data Protection (Art. </w:t>
            </w:r>
            <w:r w:rsidRPr="0045163B">
              <w:rPr>
                <w:rFonts w:ascii="Arial" w:eastAsia="Arial" w:hAnsi="Arial" w:cs="Arial"/>
                <w:sz w:val="22"/>
                <w:szCs w:val="22"/>
                <w:lang w:val="en-US"/>
              </w:rPr>
              <w:lastRenderedPageBreak/>
              <w:t>25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4C4A2E"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The Supplier/Service Provider and/or other Parties acting as data processors and handling the personal data of the Buyer/Customer must implement technical and organizational measures to protect the data of the Buyer/Customer in accordance with GDPR requirements, ensuring, among other things, compliance with the applicable data protection (data protection by design) and standardized data protection (data protection by default) (Art. 25 GDPR), including, but not limited to, setting storage terms, deleting or anonymizing personal data by automated means. The Supplier / Service Provider must provide the Buyer / Customer with evidence of the implementation of the above-mentioned requirements of all Parties processing the personal data of the Buyer / Customer.</w:t>
            </w:r>
          </w:p>
        </w:tc>
      </w:tr>
      <w:tr w:rsidR="0055261E" w:rsidRPr="0045163B" w14:paraId="729E2F67"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3CABC7"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AB047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25.2. Data Processing Agreement (Art. 28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4B4C4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After signing the Contract, the Supplier/Service Provider must immediately conclude a Data Processing Agreement (DTA) with the Buyer/Customer, according to the DPA form provided by the Buyer/Customer, publicly published on the website of AB Lietuvos </w:t>
            </w:r>
            <w:proofErr w:type="spellStart"/>
            <w:r w:rsidRPr="0045163B">
              <w:rPr>
                <w:rFonts w:ascii="Arial" w:eastAsia="Arial" w:hAnsi="Arial" w:cs="Arial"/>
                <w:sz w:val="22"/>
                <w:szCs w:val="22"/>
                <w:lang w:val="en-US"/>
              </w:rPr>
              <w:t>geležinkeliai</w:t>
            </w:r>
            <w:proofErr w:type="spellEnd"/>
            <w:r w:rsidRPr="0045163B">
              <w:rPr>
                <w:rFonts w:ascii="Arial" w:eastAsia="Arial" w:hAnsi="Arial" w:cs="Arial"/>
                <w:sz w:val="22"/>
                <w:szCs w:val="22"/>
                <w:lang w:val="en-US"/>
              </w:rPr>
              <w:t xml:space="preserve"> (see DPA form). In cases where the personal data of the Buyer/Customer will be processed by another Party, the Supplier/Service Provider must ensure that the other Party will conclude a DPA with the Buyer/Service Provider according to the DPA form provided by the Buyer/Customer. In justified cases, when it is not possible to conclude a DPA according to the form provided by the Buyer / Customer, the Supplier / Service Provider must ensure that the terms of service of the data processor include, among other things, the mandatory provisions in accordance with Part 3 of Article 28 of the GDPR.</w:t>
            </w:r>
          </w:p>
        </w:tc>
      </w:tr>
      <w:tr w:rsidR="0055261E" w:rsidRPr="0045163B" w14:paraId="0BFED566"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08B5D1"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707680"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25.3. Incidents/</w:t>
            </w:r>
          </w:p>
          <w:p w14:paraId="4E7077A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security breaches (Article 28(3)(f) of GDPR, Article 33(2)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3978D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Buyer/Customer must be immediately informed about System information and cyber security events and incidents or personal data security violations, their impact on the Buyer/Customer’s information and data security, and the state of their management. The Buyer/Customer must be able to communicate with those managing security events and incidents to ensure the effectiveness of the management process.</w:t>
            </w:r>
          </w:p>
        </w:tc>
      </w:tr>
      <w:tr w:rsidR="0055261E" w:rsidRPr="0045163B" w14:paraId="1BDEC85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EB4AB"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C58D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25.4. Implementation of the rights of data subjects (Chapter III of GDPR, Article 28(3)(e)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A901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Products (systems) and/or services must be configured in such a way as to allow the Buyer/Customer to exercise the rights of data subjects provided for in the GDPR: the right to be informed about data processing, the right to access personal data, the right to demand rectification of data, the right to be forgotten, the right to restrict data processing, the right to object to data processing, the right to data portability (Chapter III of GDPR). All data subject requests transferred by the Buyer/Customer to the Supplier/Service Provider shall not be subject to additional charges.</w:t>
            </w:r>
          </w:p>
        </w:tc>
      </w:tr>
      <w:tr w:rsidR="0055261E" w:rsidRPr="0045163B" w14:paraId="26FCBE5F"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D9C6F4"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E977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25.5. 3 Transfer of data to third parties (Chapter V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C43C7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 Service Provider must ensure that the Buyer / Customer data will not be transferred outside the European Economic Area, unless at least one of the exceptions to the limitation of transfer outside the European Economic Area provided for in Chapter V of the GDPR exists.</w:t>
            </w:r>
          </w:p>
        </w:tc>
      </w:tr>
    </w:tbl>
    <w:p w14:paraId="4B1F511A" w14:textId="77777777" w:rsidR="00CD5E5B" w:rsidRPr="0045163B" w:rsidRDefault="00CD5E5B">
      <w:pPr>
        <w:jc w:val="both"/>
        <w:rPr>
          <w:rFonts w:ascii="Arial" w:eastAsia="Arial" w:hAnsi="Arial" w:cs="Arial"/>
          <w:b/>
          <w:sz w:val="22"/>
          <w:szCs w:val="22"/>
          <w:lang w:val="en-US"/>
        </w:rPr>
      </w:pPr>
    </w:p>
    <w:p w14:paraId="65F9C3DC" w14:textId="77777777" w:rsidR="00CD5E5B" w:rsidRPr="0045163B" w:rsidRDefault="00CD5E5B">
      <w:pPr>
        <w:jc w:val="both"/>
        <w:rPr>
          <w:rFonts w:ascii="Arial" w:eastAsia="Arial" w:hAnsi="Arial" w:cs="Arial"/>
          <w:b/>
          <w:sz w:val="22"/>
          <w:szCs w:val="22"/>
          <w:lang w:val="en-US"/>
        </w:rPr>
      </w:pPr>
    </w:p>
    <w:p w14:paraId="5023141B" w14:textId="77777777" w:rsidR="00CD5E5B" w:rsidRPr="0045163B" w:rsidRDefault="00CD5E5B">
      <w:pPr>
        <w:jc w:val="both"/>
        <w:rPr>
          <w:rFonts w:ascii="Arial" w:eastAsia="Arial" w:hAnsi="Arial" w:cs="Arial"/>
          <w:b/>
          <w:sz w:val="22"/>
          <w:szCs w:val="22"/>
          <w:lang w:val="en-US"/>
        </w:rPr>
      </w:pPr>
    </w:p>
    <w:p w14:paraId="559DC3D2" w14:textId="77777777" w:rsidR="00CD5E5B" w:rsidRPr="0045163B" w:rsidRDefault="008D3F89">
      <w:pPr>
        <w:jc w:val="both"/>
        <w:rPr>
          <w:rFonts w:ascii="Arial" w:eastAsia="Arial" w:hAnsi="Arial" w:cs="Arial"/>
          <w:b/>
          <w:sz w:val="22"/>
          <w:szCs w:val="22"/>
          <w:lang w:val="en-US"/>
        </w:rPr>
      </w:pPr>
      <w:r w:rsidRPr="0045163B">
        <w:rPr>
          <w:rFonts w:ascii="Arial" w:eastAsia="Arial" w:hAnsi="Arial" w:cs="Arial"/>
          <w:b/>
          <w:sz w:val="22"/>
          <w:szCs w:val="22"/>
          <w:lang w:val="en-US"/>
        </w:rPr>
        <w:t>DATA AND DOCUMENTS PROVIDED BY THE CUSTOMER</w:t>
      </w:r>
    </w:p>
    <w:p w14:paraId="1F3B1409" w14:textId="77777777" w:rsidR="00CD5E5B" w:rsidRPr="0045163B" w:rsidRDefault="00CD5E5B">
      <w:pPr>
        <w:jc w:val="both"/>
        <w:rPr>
          <w:rFonts w:ascii="Arial" w:eastAsia="Arial" w:hAnsi="Arial" w:cs="Arial"/>
          <w:i/>
          <w:sz w:val="22"/>
          <w:szCs w:val="22"/>
          <w:lang w:val="en-US"/>
        </w:rPr>
      </w:pPr>
    </w:p>
    <w:p w14:paraId="366DE85F" w14:textId="77777777" w:rsidR="00CD5E5B" w:rsidRPr="0045163B" w:rsidRDefault="00DB312F">
      <w:pPr>
        <w:jc w:val="both"/>
        <w:rPr>
          <w:rFonts w:ascii="Arial" w:eastAsia="Arial" w:hAnsi="Arial" w:cs="Arial"/>
          <w:sz w:val="22"/>
          <w:szCs w:val="22"/>
          <w:lang w:val="en-US"/>
        </w:rPr>
      </w:pPr>
      <w:r w:rsidRPr="0045163B">
        <w:rPr>
          <w:rFonts w:ascii="Arial" w:eastAsia="Arial" w:hAnsi="Arial" w:cs="Arial"/>
          <w:i/>
          <w:sz w:val="22"/>
          <w:szCs w:val="22"/>
          <w:lang w:val="en-US"/>
        </w:rPr>
        <w:t xml:space="preserve">Depending on the design stage, the Customer provides the designer with mandatory documents. The quantity of documents necessary for the </w:t>
      </w:r>
      <w:r w:rsidRPr="0045163B">
        <w:rPr>
          <w:rFonts w:ascii="Arial" w:eastAsia="Arial" w:hAnsi="Arial" w:cs="Arial"/>
          <w:i/>
          <w:sz w:val="22"/>
          <w:szCs w:val="22"/>
          <w:lang w:val="en-US"/>
        </w:rPr>
        <w:lastRenderedPageBreak/>
        <w:t>preparation of the project depends on the purpose of the structure, construction site, complexity, impact on the environment and public health, etc</w:t>
      </w:r>
      <w:r w:rsidR="008D3F89" w:rsidRPr="0045163B">
        <w:rPr>
          <w:rFonts w:ascii="Arial" w:eastAsia="Arial" w:hAnsi="Arial" w:cs="Arial"/>
          <w:i/>
          <w:sz w:val="22"/>
          <w:szCs w:val="22"/>
          <w:lang w:val="en-US"/>
        </w:rPr>
        <w:t>.</w:t>
      </w:r>
    </w:p>
    <w:p w14:paraId="562C75D1" w14:textId="77777777" w:rsidR="00CD5E5B" w:rsidRPr="0045163B" w:rsidRDefault="00CD5E5B">
      <w:pPr>
        <w:ind w:firstLine="720"/>
        <w:jc w:val="both"/>
        <w:rPr>
          <w:rFonts w:ascii="Arial" w:eastAsia="Arial" w:hAnsi="Arial" w:cs="Arial"/>
          <w:sz w:val="22"/>
          <w:szCs w:val="22"/>
          <w:lang w:val="en-US"/>
        </w:rPr>
      </w:pPr>
    </w:p>
    <w:tbl>
      <w:tblPr>
        <w:tblW w:w="96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58"/>
        <w:gridCol w:w="1056"/>
        <w:gridCol w:w="3396"/>
      </w:tblGrid>
      <w:tr w:rsidR="009310C1" w:rsidRPr="0045163B" w14:paraId="77974933" w14:textId="77777777" w:rsidTr="5CB6EE20">
        <w:trPr>
          <w:trHeight w:val="260"/>
        </w:trPr>
        <w:tc>
          <w:tcPr>
            <w:tcW w:w="9610" w:type="dxa"/>
            <w:gridSpan w:val="3"/>
            <w:shd w:val="clear" w:color="auto" w:fill="auto"/>
          </w:tcPr>
          <w:p w14:paraId="1AF8F93B" w14:textId="77777777" w:rsidR="00CD5E5B" w:rsidRPr="0045163B" w:rsidRDefault="008D3F89" w:rsidP="00925080">
            <w:pPr>
              <w:widowControl/>
              <w:numPr>
                <w:ilvl w:val="0"/>
                <w:numId w:val="15"/>
              </w:numPr>
              <w:pBdr>
                <w:top w:val="nil"/>
                <w:left w:val="nil"/>
                <w:bottom w:val="nil"/>
                <w:right w:val="nil"/>
                <w:between w:val="nil"/>
              </w:pBdr>
              <w:ind w:left="425" w:hanging="357"/>
              <w:rPr>
                <w:rFonts w:ascii="Arial" w:eastAsia="Arial" w:hAnsi="Arial" w:cs="Arial"/>
                <w:b/>
                <w:sz w:val="22"/>
                <w:szCs w:val="22"/>
                <w:lang w:val="en-US"/>
              </w:rPr>
            </w:pPr>
            <w:r w:rsidRPr="0045163B">
              <w:rPr>
                <w:rFonts w:ascii="Arial" w:eastAsia="Arial" w:hAnsi="Arial" w:cs="Arial"/>
                <w:b/>
                <w:sz w:val="22"/>
                <w:szCs w:val="22"/>
                <w:lang w:val="en-US"/>
              </w:rPr>
              <w:t>Design proposals</w:t>
            </w:r>
          </w:p>
        </w:tc>
      </w:tr>
      <w:tr w:rsidR="009310C1" w:rsidRPr="0045163B" w14:paraId="2C583371" w14:textId="77777777" w:rsidTr="5CB6EE20">
        <w:tc>
          <w:tcPr>
            <w:tcW w:w="5158" w:type="dxa"/>
            <w:shd w:val="clear" w:color="auto" w:fill="auto"/>
          </w:tcPr>
          <w:p w14:paraId="67691E46" w14:textId="77777777" w:rsidR="00CD5E5B" w:rsidRPr="0045163B" w:rsidRDefault="008D3F89" w:rsidP="00696075">
            <w:pPr>
              <w:jc w:val="both"/>
              <w:rPr>
                <w:rFonts w:ascii="Arial" w:eastAsia="Arial" w:hAnsi="Arial" w:cs="Arial"/>
                <w:sz w:val="22"/>
                <w:szCs w:val="22"/>
                <w:lang w:val="en-US"/>
              </w:rPr>
            </w:pPr>
            <w:r w:rsidRPr="0045163B">
              <w:rPr>
                <w:rFonts w:ascii="Arial" w:eastAsia="Arial" w:hAnsi="Arial" w:cs="Arial"/>
                <w:sz w:val="22"/>
                <w:szCs w:val="22"/>
                <w:lang w:val="en-US"/>
              </w:rPr>
              <w:t xml:space="preserve">A copy of the cadastral data file of the existing </w:t>
            </w:r>
            <w:r w:rsidR="00696075" w:rsidRPr="0045163B">
              <w:rPr>
                <w:rFonts w:ascii="Arial" w:eastAsia="Arial" w:hAnsi="Arial" w:cs="Arial"/>
                <w:sz w:val="22"/>
                <w:szCs w:val="22"/>
                <w:lang w:val="en-US"/>
              </w:rPr>
              <w:t>structure</w:t>
            </w:r>
            <w:r w:rsidRPr="0045163B">
              <w:rPr>
                <w:rFonts w:ascii="Arial" w:eastAsia="Arial" w:hAnsi="Arial" w:cs="Arial"/>
                <w:sz w:val="22"/>
                <w:szCs w:val="22"/>
                <w:lang w:val="en-US"/>
              </w:rPr>
              <w:t xml:space="preserve"> or its part</w:t>
            </w:r>
          </w:p>
        </w:tc>
        <w:tc>
          <w:tcPr>
            <w:tcW w:w="1056" w:type="dxa"/>
            <w:shd w:val="clear" w:color="auto" w:fill="auto"/>
          </w:tcPr>
          <w:p w14:paraId="664355AD" w14:textId="77777777" w:rsidR="00CD5E5B" w:rsidRPr="0045163B" w:rsidRDefault="00CD5E5B">
            <w:pPr>
              <w:rPr>
                <w:rFonts w:ascii="Arial" w:eastAsia="Arial" w:hAnsi="Arial" w:cs="Arial"/>
                <w:sz w:val="22"/>
                <w:szCs w:val="22"/>
                <w:lang w:val="en-US"/>
              </w:rPr>
            </w:pPr>
          </w:p>
        </w:tc>
        <w:tc>
          <w:tcPr>
            <w:tcW w:w="3396" w:type="dxa"/>
            <w:shd w:val="clear" w:color="auto" w:fill="auto"/>
            <w:vAlign w:val="center"/>
          </w:tcPr>
          <w:p w14:paraId="1146A319" w14:textId="77777777" w:rsidR="00CD5E5B" w:rsidRPr="0045163B" w:rsidRDefault="008D3F89">
            <w:pP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24D28013" w14:textId="77777777" w:rsidTr="5CB6EE20">
        <w:tc>
          <w:tcPr>
            <w:tcW w:w="5158" w:type="dxa"/>
            <w:shd w:val="clear" w:color="auto" w:fill="auto"/>
          </w:tcPr>
          <w:p w14:paraId="25AC8E58"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The development plan of the railway infrastructure maintenance depots communication engineering infrastructure of the Rail Baltica project</w:t>
            </w:r>
          </w:p>
        </w:tc>
        <w:tc>
          <w:tcPr>
            <w:tcW w:w="1056" w:type="dxa"/>
            <w:shd w:val="clear" w:color="auto" w:fill="auto"/>
          </w:tcPr>
          <w:p w14:paraId="1A965116"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0C850008"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5D915029" w14:textId="655EE961" w:rsidR="00BE318A" w:rsidRPr="0045163B" w:rsidRDefault="00BE318A" w:rsidP="00BE318A">
            <w:pPr>
              <w:rPr>
                <w:rFonts w:ascii="Arial" w:eastAsia="Arial" w:hAnsi="Arial" w:cs="Arial"/>
                <w:sz w:val="22"/>
                <w:szCs w:val="22"/>
                <w:lang w:val="en-US"/>
              </w:rPr>
            </w:pPr>
            <w:hyperlink r:id="rId13">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55F49CF6" w14:textId="77777777" w:rsidTr="5CB6EE20">
        <w:tc>
          <w:tcPr>
            <w:tcW w:w="5158" w:type="dxa"/>
            <w:shd w:val="clear" w:color="auto" w:fill="auto"/>
          </w:tcPr>
          <w:p w14:paraId="0B8939BA"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Environmental impact assessment report of the Rail Baltica Kaunas railway infrastructure maintenance depot</w:t>
            </w:r>
          </w:p>
        </w:tc>
        <w:tc>
          <w:tcPr>
            <w:tcW w:w="1056" w:type="dxa"/>
            <w:shd w:val="clear" w:color="auto" w:fill="auto"/>
          </w:tcPr>
          <w:p w14:paraId="7DF4E37C"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499FA00F" w14:textId="77777777" w:rsidR="00BE318A" w:rsidRPr="0045163B" w:rsidRDefault="00BE318A" w:rsidP="00BE318A">
            <w:pPr>
              <w:tabs>
                <w:tab w:val="left" w:pos="956"/>
              </w:tabs>
              <w:rPr>
                <w:rFonts w:ascii="Arial" w:eastAsia="Arial" w:hAnsi="Arial" w:cs="Arial"/>
                <w:sz w:val="22"/>
                <w:szCs w:val="22"/>
                <w:lang w:val="en-US"/>
              </w:rPr>
            </w:pPr>
            <w:hyperlink r:id="rId14">
              <w:r w:rsidRPr="0045163B">
                <w:rPr>
                  <w:rFonts w:ascii="Arial" w:eastAsia="Arial" w:hAnsi="Arial" w:cs="Arial"/>
                  <w:sz w:val="22"/>
                  <w:szCs w:val="22"/>
                  <w:u w:val="single"/>
                  <w:lang w:val="en-US"/>
                </w:rPr>
                <w:t>https://infraplanas.lt/informacija-apie-projekto-rail-baltica-kauno-gelezinkeliu-infrastrukturos-prieziuros-depo-viesa-visuomenes-supazindinimo-su-poveikio-aplinkai-vertinimo-ataskaita-pav/</w:t>
              </w:r>
            </w:hyperlink>
          </w:p>
        </w:tc>
      </w:tr>
      <w:tr w:rsidR="00BE318A" w:rsidRPr="0045163B" w14:paraId="3B761569" w14:textId="77777777" w:rsidTr="5CB6EE20">
        <w:tc>
          <w:tcPr>
            <w:tcW w:w="5158" w:type="dxa"/>
            <w:shd w:val="clear" w:color="auto" w:fill="auto"/>
          </w:tcPr>
          <w:p w14:paraId="37A0560E"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Other documents and data taking into account the specifics of the proposed building</w:t>
            </w:r>
          </w:p>
        </w:tc>
        <w:tc>
          <w:tcPr>
            <w:tcW w:w="1056" w:type="dxa"/>
            <w:shd w:val="clear" w:color="auto" w:fill="auto"/>
          </w:tcPr>
          <w:p w14:paraId="44FB30F8" w14:textId="77777777" w:rsidR="00BE318A" w:rsidRPr="0045163B" w:rsidRDefault="00BE318A" w:rsidP="00BE318A">
            <w:pPr>
              <w:rPr>
                <w:rFonts w:ascii="Arial" w:eastAsia="Arial" w:hAnsi="Arial" w:cs="Arial"/>
                <w:sz w:val="22"/>
                <w:szCs w:val="22"/>
                <w:lang w:val="en-US"/>
              </w:rPr>
            </w:pPr>
          </w:p>
        </w:tc>
        <w:tc>
          <w:tcPr>
            <w:tcW w:w="3396" w:type="dxa"/>
            <w:shd w:val="clear" w:color="auto" w:fill="auto"/>
            <w:vAlign w:val="center"/>
          </w:tcPr>
          <w:p w14:paraId="46345EF8" w14:textId="4D2F15D5" w:rsidR="00BE318A" w:rsidRPr="0045163B" w:rsidRDefault="00BE318A" w:rsidP="00BE318A">
            <w:pPr>
              <w:rPr>
                <w:rFonts w:ascii="Arial" w:eastAsia="Arial" w:hAnsi="Arial" w:cs="Arial"/>
                <w:sz w:val="22"/>
                <w:szCs w:val="22"/>
                <w:lang w:val="en-US"/>
              </w:rPr>
            </w:pPr>
            <w:r w:rsidRPr="0045163B">
              <w:rPr>
                <w:rFonts w:ascii="Arial" w:eastAsia="Arial" w:hAnsi="Arial" w:cs="Arial"/>
                <w:sz w:val="22"/>
                <w:szCs w:val="22"/>
                <w:lang w:val="en-US"/>
              </w:rPr>
              <w:t>Minimum requirements for material storage areas (Annex No. 3)</w:t>
            </w:r>
          </w:p>
        </w:tc>
      </w:tr>
      <w:tr w:rsidR="00BE318A" w:rsidRPr="0045163B" w14:paraId="4390793E" w14:textId="77777777" w:rsidTr="5CB6EE20">
        <w:tc>
          <w:tcPr>
            <w:tcW w:w="5158" w:type="dxa"/>
            <w:shd w:val="clear" w:color="auto" w:fill="auto"/>
          </w:tcPr>
          <w:p w14:paraId="7DD579B6"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The special plan of the European standard railway line Kaunas-Lithuanian and Latvian border</w:t>
            </w:r>
          </w:p>
        </w:tc>
        <w:tc>
          <w:tcPr>
            <w:tcW w:w="1056" w:type="dxa"/>
            <w:shd w:val="clear" w:color="auto" w:fill="auto"/>
          </w:tcPr>
          <w:p w14:paraId="1DA6542E"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7C140964"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42B8C6AD" w14:textId="77777777" w:rsidR="00BE318A" w:rsidRPr="0045163B" w:rsidRDefault="00BE318A" w:rsidP="00BE318A">
            <w:pPr>
              <w:rPr>
                <w:rFonts w:ascii="Arial" w:eastAsia="Arial" w:hAnsi="Arial" w:cs="Arial"/>
                <w:sz w:val="22"/>
                <w:szCs w:val="22"/>
                <w:lang w:val="en-US"/>
              </w:rPr>
            </w:pPr>
            <w:hyperlink r:id="rId15">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6CAF36AA" w14:textId="77777777" w:rsidTr="5CB6EE20">
        <w:tc>
          <w:tcPr>
            <w:tcW w:w="5158" w:type="dxa"/>
            <w:shd w:val="clear" w:color="auto" w:fill="auto"/>
          </w:tcPr>
          <w:p w14:paraId="51657E17"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Land Acquisition for Public Needs (European standard railway line Kaunas-Lithuania-Latvia state border to be built in the territory of the Kaunas district municipality) project</w:t>
            </w:r>
          </w:p>
        </w:tc>
        <w:tc>
          <w:tcPr>
            <w:tcW w:w="1056" w:type="dxa"/>
            <w:shd w:val="clear" w:color="auto" w:fill="auto"/>
          </w:tcPr>
          <w:p w14:paraId="3041E394"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69CC775C"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10C02271" w14:textId="77777777" w:rsidR="00BE318A" w:rsidRPr="0045163B" w:rsidRDefault="00BE318A" w:rsidP="00BE318A">
            <w:pPr>
              <w:rPr>
                <w:rFonts w:ascii="Arial" w:eastAsia="Arial" w:hAnsi="Arial" w:cs="Arial"/>
                <w:sz w:val="22"/>
                <w:szCs w:val="22"/>
                <w:lang w:val="en-US"/>
              </w:rPr>
            </w:pPr>
            <w:hyperlink r:id="rId16">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427B64F4" w14:textId="77777777" w:rsidTr="5CB6EE20">
        <w:tc>
          <w:tcPr>
            <w:tcW w:w="5158" w:type="dxa"/>
            <w:shd w:val="clear" w:color="auto" w:fill="auto"/>
          </w:tcPr>
          <w:p w14:paraId="25D34655"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Land acquisition for public needs for the construction and reconstruction of tracks of local importance for the construction of the European standard railway line Kaunas-Lithuania and the border of Latvia in the territory of the Kaunas district municipality</w:t>
            </w:r>
          </w:p>
        </w:tc>
        <w:tc>
          <w:tcPr>
            <w:tcW w:w="1056" w:type="dxa"/>
            <w:shd w:val="clear" w:color="auto" w:fill="auto"/>
          </w:tcPr>
          <w:p w14:paraId="722B00AE"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tcPr>
          <w:p w14:paraId="284CE24D"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w:t>
            </w:r>
            <w:r w:rsidRPr="0045163B">
              <w:rPr>
                <w:lang w:val="en-US"/>
              </w:rPr>
              <w:t xml:space="preserve"> </w:t>
            </w:r>
          </w:p>
          <w:p w14:paraId="0A40FE92" w14:textId="77777777" w:rsidR="00BE318A" w:rsidRPr="0045163B" w:rsidRDefault="00BE318A" w:rsidP="00BE318A">
            <w:pPr>
              <w:rPr>
                <w:rFonts w:ascii="Arial" w:eastAsia="Arial" w:hAnsi="Arial" w:cs="Arial"/>
                <w:sz w:val="22"/>
                <w:szCs w:val="22"/>
                <w:lang w:val="en-US"/>
              </w:rPr>
            </w:pPr>
            <w:hyperlink r:id="rId17">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457BEC7B" w14:textId="77777777" w:rsidTr="5CB6EE20">
        <w:tc>
          <w:tcPr>
            <w:tcW w:w="5158" w:type="dxa"/>
            <w:shd w:val="clear" w:color="auto" w:fill="auto"/>
          </w:tcPr>
          <w:p w14:paraId="5FEC5B6C"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 xml:space="preserve">Other documents and data about the projects being prepared, potentially influencing the Project </w:t>
            </w:r>
            <w:r w:rsidRPr="0045163B">
              <w:rPr>
                <w:rFonts w:ascii="Arial" w:eastAsia="Arial" w:hAnsi="Arial" w:cs="Arial"/>
                <w:sz w:val="22"/>
                <w:szCs w:val="22"/>
                <w:lang w:val="en-US"/>
              </w:rPr>
              <w:lastRenderedPageBreak/>
              <w:t>decisions (for example: projects carried out at the same or similar time, the decisions of which border on the decisions of the project of the procurement object)</w:t>
            </w:r>
          </w:p>
        </w:tc>
        <w:tc>
          <w:tcPr>
            <w:tcW w:w="1056" w:type="dxa"/>
            <w:shd w:val="clear" w:color="auto" w:fill="auto"/>
          </w:tcPr>
          <w:p w14:paraId="42C6D796"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tcPr>
          <w:p w14:paraId="54AF62C6"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1A18A3CF" w14:textId="77777777" w:rsidTr="5CB6EE20">
        <w:tc>
          <w:tcPr>
            <w:tcW w:w="9610" w:type="dxa"/>
            <w:gridSpan w:val="3"/>
            <w:shd w:val="clear" w:color="auto" w:fill="auto"/>
          </w:tcPr>
          <w:p w14:paraId="664C396B" w14:textId="193409AB" w:rsidR="00BE318A" w:rsidRPr="0045163B" w:rsidRDefault="00BE318A" w:rsidP="00925080">
            <w:pPr>
              <w:widowControl/>
              <w:numPr>
                <w:ilvl w:val="0"/>
                <w:numId w:val="15"/>
              </w:numPr>
              <w:pBdr>
                <w:top w:val="nil"/>
                <w:left w:val="nil"/>
                <w:bottom w:val="nil"/>
                <w:right w:val="nil"/>
                <w:between w:val="nil"/>
              </w:pBdr>
              <w:ind w:left="425" w:hanging="357"/>
              <w:rPr>
                <w:rFonts w:ascii="Arial" w:eastAsia="Arial" w:hAnsi="Arial" w:cs="Arial"/>
                <w:b/>
                <w:sz w:val="22"/>
                <w:szCs w:val="22"/>
                <w:lang w:val="en-US"/>
              </w:rPr>
            </w:pPr>
            <w:r w:rsidRPr="0045163B">
              <w:rPr>
                <w:rFonts w:ascii="Arial" w:eastAsia="Arial" w:hAnsi="Arial" w:cs="Arial"/>
                <w:b/>
                <w:sz w:val="22"/>
                <w:szCs w:val="22"/>
                <w:lang w:val="en-US"/>
              </w:rPr>
              <w:t>Master Detailed Technical design</w:t>
            </w:r>
          </w:p>
        </w:tc>
      </w:tr>
      <w:tr w:rsidR="00BE318A" w:rsidRPr="0045163B" w14:paraId="200ECEB3" w14:textId="77777777" w:rsidTr="5CB6EE20">
        <w:tc>
          <w:tcPr>
            <w:tcW w:w="5158" w:type="dxa"/>
            <w:shd w:val="clear" w:color="auto" w:fill="auto"/>
          </w:tcPr>
          <w:p w14:paraId="0445727B"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Documents of legal registration of the plot of land in the Real Estate Register or documents of lease (use) of the plot of land</w:t>
            </w:r>
          </w:p>
        </w:tc>
        <w:tc>
          <w:tcPr>
            <w:tcW w:w="1056" w:type="dxa"/>
            <w:shd w:val="clear" w:color="auto" w:fill="auto"/>
          </w:tcPr>
          <w:p w14:paraId="6E1831B3"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24A43762"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604CA8F5" w14:textId="77777777" w:rsidTr="5CB6EE20">
        <w:tc>
          <w:tcPr>
            <w:tcW w:w="5158" w:type="dxa"/>
            <w:shd w:val="clear" w:color="auto" w:fill="auto"/>
          </w:tcPr>
          <w:p w14:paraId="34B605C6"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Environmental impact assessment documents of planned economic activities</w:t>
            </w:r>
          </w:p>
        </w:tc>
        <w:tc>
          <w:tcPr>
            <w:tcW w:w="1056" w:type="dxa"/>
            <w:shd w:val="clear" w:color="auto" w:fill="auto"/>
          </w:tcPr>
          <w:p w14:paraId="54E11D2A"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48F730F7"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05C92825" w14:textId="77777777" w:rsidTr="5CB6EE20">
        <w:tc>
          <w:tcPr>
            <w:tcW w:w="5158" w:type="dxa"/>
            <w:shd w:val="clear" w:color="auto" w:fill="auto"/>
          </w:tcPr>
          <w:p w14:paraId="53495239"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Documents for the assessment of the impact of the planned economic activity on public health</w:t>
            </w:r>
          </w:p>
        </w:tc>
        <w:tc>
          <w:tcPr>
            <w:tcW w:w="1056" w:type="dxa"/>
            <w:shd w:val="clear" w:color="auto" w:fill="auto"/>
          </w:tcPr>
          <w:p w14:paraId="31126E5D"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21BFED9E"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429BE50A" w14:textId="77777777" w:rsidTr="5CB6EE20">
        <w:tc>
          <w:tcPr>
            <w:tcW w:w="5158" w:type="dxa"/>
            <w:shd w:val="clear" w:color="auto" w:fill="auto"/>
          </w:tcPr>
          <w:p w14:paraId="4F5A995F"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Other documents</w:t>
            </w:r>
          </w:p>
        </w:tc>
        <w:tc>
          <w:tcPr>
            <w:tcW w:w="1056" w:type="dxa"/>
            <w:shd w:val="clear" w:color="auto" w:fill="auto"/>
          </w:tcPr>
          <w:p w14:paraId="2DE403A5"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392162B6"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4CB4FA51" w14:textId="77777777" w:rsidTr="5CB6EE20">
        <w:tc>
          <w:tcPr>
            <w:tcW w:w="5158" w:type="dxa"/>
            <w:shd w:val="clear" w:color="auto" w:fill="auto"/>
          </w:tcPr>
          <w:p w14:paraId="6BC1587D"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Cooperation agreements (required in such cases when the project will be carried out not only by the Builder (Customer) but also on a plot of land belonging to another owner or when the designed structure belongs not only to the Builder (Customer) but also to another owner, e.g.: Municipality and Lithuanian Motorway Directorate to the Ministry of Transport and Communications, Municipality and AB LTG Infra, etc.)</w:t>
            </w:r>
          </w:p>
        </w:tc>
        <w:tc>
          <w:tcPr>
            <w:tcW w:w="1056" w:type="dxa"/>
            <w:shd w:val="clear" w:color="auto" w:fill="auto"/>
          </w:tcPr>
          <w:p w14:paraId="62431CDC"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59376C28"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bl>
    <w:p w14:paraId="49E398E2" w14:textId="77777777" w:rsidR="00CD5E5B" w:rsidRPr="0045163B" w:rsidRDefault="00CD5E5B">
      <w:pPr>
        <w:jc w:val="both"/>
        <w:rPr>
          <w:rFonts w:ascii="Arial" w:eastAsia="Arial" w:hAnsi="Arial" w:cs="Arial"/>
          <w:sz w:val="22"/>
          <w:szCs w:val="22"/>
          <w:lang w:val="en-US"/>
        </w:rPr>
      </w:pPr>
    </w:p>
    <w:p w14:paraId="3138D10D" w14:textId="77777777" w:rsidR="00CD5E5B" w:rsidRPr="0045163B" w:rsidRDefault="00696075">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ANNEXES</w:t>
      </w:r>
      <w:r w:rsidR="008D3F89" w:rsidRPr="0045163B">
        <w:rPr>
          <w:rFonts w:ascii="Arial" w:eastAsia="Arial" w:hAnsi="Arial" w:cs="Arial"/>
          <w:sz w:val="22"/>
          <w:szCs w:val="22"/>
          <w:lang w:val="en-US"/>
        </w:rPr>
        <w:t>:</w:t>
      </w:r>
    </w:p>
    <w:p w14:paraId="72909F45" w14:textId="6CB8CA1A" w:rsidR="00EA4A43" w:rsidRPr="0045163B" w:rsidRDefault="00EA4A43" w:rsidP="5CB6EE20">
      <w:pPr>
        <w:widowControl/>
        <w:shd w:val="clear" w:color="auto" w:fill="FFFFFF" w:themeFill="background1"/>
        <w:ind w:left="426"/>
        <w:jc w:val="both"/>
        <w:rPr>
          <w:rFonts w:ascii="Arial" w:eastAsia="Arial" w:hAnsi="Arial" w:cs="Arial"/>
          <w:sz w:val="22"/>
          <w:szCs w:val="22"/>
          <w:lang w:val="en-US"/>
        </w:rPr>
      </w:pPr>
      <w:bookmarkStart w:id="4" w:name="_heading=h.3dy6vkm"/>
      <w:bookmarkEnd w:id="4"/>
    </w:p>
    <w:p w14:paraId="3F8347D2" w14:textId="77777777" w:rsidR="00EA4A43" w:rsidRPr="0045163B" w:rsidRDefault="00EA4A43" w:rsidP="004009D5">
      <w:pPr>
        <w:widowControl/>
        <w:shd w:val="clear" w:color="auto" w:fill="FFFFFF" w:themeFill="background1"/>
        <w:ind w:left="426"/>
        <w:jc w:val="both"/>
        <w:rPr>
          <w:rFonts w:ascii="Arial" w:eastAsia="Arial" w:hAnsi="Arial" w:cs="Arial"/>
          <w:sz w:val="22"/>
          <w:szCs w:val="22"/>
          <w:lang w:val="en-US"/>
        </w:rPr>
      </w:pPr>
    </w:p>
    <w:p w14:paraId="02FD9BF3" w14:textId="77777777" w:rsidR="00424F2E" w:rsidRDefault="00BF7512" w:rsidP="00BF7512">
      <w:pPr>
        <w:widowControl/>
        <w:shd w:val="clear" w:color="auto" w:fill="FFFFFF" w:themeFill="background1"/>
        <w:ind w:left="426"/>
        <w:jc w:val="both"/>
        <w:rPr>
          <w:lang w:val="en-US"/>
        </w:rPr>
      </w:pPr>
      <w:r w:rsidRPr="0045163B">
        <w:rPr>
          <w:rFonts w:ascii="Arial" w:eastAsia="Arial" w:hAnsi="Arial" w:cs="Arial"/>
          <w:sz w:val="22"/>
          <w:szCs w:val="22"/>
          <w:u w:val="single"/>
          <w:lang w:val="en-US"/>
        </w:rPr>
        <w:t>Annex 1</w:t>
      </w:r>
      <w:r w:rsidRPr="0045163B">
        <w:rPr>
          <w:rFonts w:ascii="Arial" w:eastAsia="Arial" w:hAnsi="Arial" w:cs="Arial"/>
          <w:sz w:val="22"/>
          <w:szCs w:val="22"/>
          <w:lang w:val="en-US"/>
        </w:rPr>
        <w:t xml:space="preserve"> – Rail Baltica Design Guidelines. </w:t>
      </w:r>
      <w:r w:rsidR="2DF7F02E" w:rsidRPr="0045163B">
        <w:rPr>
          <w:rFonts w:ascii="Arial" w:eastAsia="Arial" w:hAnsi="Arial" w:cs="Arial"/>
          <w:color w:val="000000" w:themeColor="text1"/>
          <w:sz w:val="22"/>
          <w:szCs w:val="22"/>
          <w:lang w:val="en-US"/>
        </w:rPr>
        <w:t xml:space="preserve"> Access to current Rail Baltica Design Guidelines material: </w:t>
      </w:r>
      <w:hyperlink r:id="rId18" w:history="1">
        <w:r w:rsidR="00424F2E" w:rsidRPr="00424F2E">
          <w:rPr>
            <w:rStyle w:val="Hyperlink"/>
          </w:rPr>
          <w:t>Design Guidelines | Rail Baltica</w:t>
        </w:r>
      </w:hyperlink>
      <w:r w:rsidR="00424F2E">
        <w:rPr>
          <w:lang w:val="en-US"/>
        </w:rPr>
        <w:t>;</w:t>
      </w:r>
    </w:p>
    <w:p w14:paraId="296A9A7E" w14:textId="7E6BA749"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 </w:t>
      </w:r>
      <w:r w:rsidRPr="0045163B">
        <w:rPr>
          <w:rFonts w:ascii="Arial" w:eastAsia="Arial" w:hAnsi="Arial" w:cs="Arial"/>
          <w:sz w:val="22"/>
          <w:szCs w:val="22"/>
          <w:lang w:val="en-US"/>
        </w:rPr>
        <w:t>- General requirements for the reconstructed infrastructure of 1520 mm, taking into account the newly built 1435 mm railway line; </w:t>
      </w:r>
    </w:p>
    <w:p w14:paraId="79B5A957" w14:textId="17008913" w:rsidR="00BF7512" w:rsidRPr="001A089F"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w:t>
      </w:r>
      <w:r w:rsidRPr="0045163B">
        <w:rPr>
          <w:rFonts w:ascii="Arial" w:eastAsia="Arial" w:hAnsi="Arial" w:cs="Arial"/>
          <w:sz w:val="22"/>
          <w:szCs w:val="22"/>
          <w:lang w:val="en-US"/>
        </w:rPr>
        <w:t xml:space="preserve"> –</w:t>
      </w:r>
      <w:r w:rsidR="00630270" w:rsidRPr="001A089F">
        <w:rPr>
          <w:rFonts w:ascii="Arial" w:eastAsia="Arial" w:hAnsi="Arial" w:cs="Arial"/>
          <w:sz w:val="22"/>
          <w:szCs w:val="22"/>
          <w:lang w:val="en-US"/>
        </w:rPr>
        <w:t>Report on the plan for the clean-up and neutralization of areas contaminated with explosives on the European standard railway line Kaunas - Lithuanian-Latvian border</w:t>
      </w:r>
      <w:r w:rsidRPr="001A089F">
        <w:rPr>
          <w:rFonts w:ascii="Arial" w:eastAsia="Arial" w:hAnsi="Arial" w:cs="Arial"/>
          <w:sz w:val="22"/>
          <w:szCs w:val="22"/>
          <w:lang w:val="en-US"/>
        </w:rPr>
        <w:t>; </w:t>
      </w:r>
    </w:p>
    <w:p w14:paraId="492E591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4 </w:t>
      </w:r>
      <w:r w:rsidRPr="0045163B">
        <w:rPr>
          <w:rFonts w:ascii="Arial" w:eastAsia="Arial" w:hAnsi="Arial" w:cs="Arial"/>
          <w:sz w:val="22"/>
          <w:szCs w:val="22"/>
          <w:lang w:val="en-US"/>
        </w:rPr>
        <w:t>– Example of a work quantity sheet; </w:t>
      </w:r>
    </w:p>
    <w:p w14:paraId="121C327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5 </w:t>
      </w:r>
      <w:r w:rsidRPr="0045163B">
        <w:rPr>
          <w:rFonts w:ascii="Arial" w:eastAsia="Arial" w:hAnsi="Arial" w:cs="Arial"/>
          <w:sz w:val="22"/>
          <w:szCs w:val="22"/>
          <w:lang w:val="en-US"/>
        </w:rPr>
        <w:t>– System Engineering Management  RBGP (RBGL-SEA-PLN SE-R-00001); </w:t>
      </w:r>
    </w:p>
    <w:p w14:paraId="5EC84BFA"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6</w:t>
      </w:r>
      <w:r w:rsidRPr="0045163B">
        <w:rPr>
          <w:rFonts w:ascii="Arial" w:eastAsia="Arial" w:hAnsi="Arial" w:cs="Arial"/>
          <w:sz w:val="22"/>
          <w:szCs w:val="22"/>
          <w:lang w:val="en-US"/>
        </w:rPr>
        <w:t xml:space="preserve"> – Requirements Management ( RBGL-SEA-PLN_RQ-R-00001); </w:t>
      </w:r>
    </w:p>
    <w:p w14:paraId="4517ACBB"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7</w:t>
      </w:r>
      <w:r w:rsidRPr="0045163B">
        <w:rPr>
          <w:rFonts w:ascii="Arial" w:eastAsia="Arial" w:hAnsi="Arial" w:cs="Arial"/>
          <w:sz w:val="22"/>
          <w:szCs w:val="22"/>
          <w:lang w:val="en-US"/>
        </w:rPr>
        <w:t xml:space="preserve"> – Configuration Management ( RBGL-SEA-PLN_CM-R-00001); </w:t>
      </w:r>
    </w:p>
    <w:p w14:paraId="384A65E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8</w:t>
      </w:r>
      <w:r w:rsidRPr="0045163B">
        <w:rPr>
          <w:rFonts w:ascii="Arial" w:eastAsia="Arial" w:hAnsi="Arial" w:cs="Arial"/>
          <w:sz w:val="22"/>
          <w:szCs w:val="22"/>
          <w:lang w:val="en-US"/>
        </w:rPr>
        <w:t xml:space="preserve"> – Verification &amp; Validation ( RBGL-SEA-PLN_VV-R-00001); </w:t>
      </w:r>
    </w:p>
    <w:p w14:paraId="19339B25"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lastRenderedPageBreak/>
        <w:t>Annex 9</w:t>
      </w:r>
      <w:r w:rsidRPr="0045163B">
        <w:rPr>
          <w:rFonts w:ascii="Arial" w:eastAsia="Arial" w:hAnsi="Arial" w:cs="Arial"/>
          <w:sz w:val="22"/>
          <w:szCs w:val="22"/>
          <w:lang w:val="en-US"/>
        </w:rPr>
        <w:t xml:space="preserve"> – Interface Management.( RBGL-SEA-PLN_VV-R-00001); </w:t>
      </w:r>
    </w:p>
    <w:p w14:paraId="6BD3A09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10 </w:t>
      </w:r>
      <w:r w:rsidRPr="0045163B">
        <w:rPr>
          <w:rFonts w:ascii="Arial" w:eastAsia="Arial" w:hAnsi="Arial" w:cs="Arial"/>
          <w:sz w:val="22"/>
          <w:szCs w:val="22"/>
          <w:lang w:val="en-US"/>
        </w:rPr>
        <w:t>- RBGP System Engineering Management process for Implementation phases: Design, Construction and Manufacturing (RBGL-SEA-PLN_DN-R-00001); </w:t>
      </w:r>
    </w:p>
    <w:p w14:paraId="30C401D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11</w:t>
      </w:r>
      <w:r w:rsidRPr="0045163B">
        <w:rPr>
          <w:rFonts w:ascii="Arial" w:eastAsia="Arial" w:hAnsi="Arial" w:cs="Arial"/>
          <w:sz w:val="22"/>
          <w:szCs w:val="22"/>
          <w:lang w:val="en-US"/>
        </w:rPr>
        <w:t xml:space="preserve"> – Interface Register.(</w:t>
      </w:r>
      <w:proofErr w:type="spellStart"/>
      <w:r w:rsidRPr="0045163B">
        <w:rPr>
          <w:rFonts w:ascii="Arial" w:eastAsia="Arial" w:hAnsi="Arial" w:cs="Arial"/>
          <w:sz w:val="22"/>
          <w:szCs w:val="22"/>
          <w:lang w:val="en-US"/>
        </w:rPr>
        <w:t>exel</w:t>
      </w:r>
      <w:proofErr w:type="spellEnd"/>
      <w:r w:rsidRPr="0045163B">
        <w:rPr>
          <w:rFonts w:ascii="Arial" w:eastAsia="Arial" w:hAnsi="Arial" w:cs="Arial"/>
          <w:sz w:val="22"/>
          <w:szCs w:val="22"/>
          <w:lang w:val="en-US"/>
        </w:rPr>
        <w:t xml:space="preserve"> form); </w:t>
      </w:r>
    </w:p>
    <w:p w14:paraId="6A87783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12</w:t>
      </w:r>
      <w:r w:rsidRPr="0045163B">
        <w:rPr>
          <w:rFonts w:ascii="Arial" w:eastAsia="Arial" w:hAnsi="Arial" w:cs="Arial"/>
          <w:sz w:val="22"/>
          <w:szCs w:val="22"/>
          <w:lang w:val="en-US"/>
        </w:rPr>
        <w:t xml:space="preserve"> – Interface Control Forms (RBGL-DMT-TPL-Z-00021); </w:t>
      </w:r>
    </w:p>
    <w:p w14:paraId="6A1C7B8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13</w:t>
      </w:r>
      <w:r w:rsidRPr="0045163B">
        <w:rPr>
          <w:rFonts w:ascii="Arial" w:eastAsia="Arial" w:hAnsi="Arial" w:cs="Arial"/>
          <w:sz w:val="22"/>
          <w:szCs w:val="22"/>
          <w:lang w:val="en-US"/>
        </w:rPr>
        <w:t xml:space="preserve"> – Hydrometeorological Investigation.( RBGL-HYD-SPC_SI-R-00001); </w:t>
      </w:r>
    </w:p>
    <w:p w14:paraId="61BC9D5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14</w:t>
      </w:r>
      <w:r w:rsidRPr="0045163B">
        <w:rPr>
          <w:rFonts w:ascii="Arial" w:eastAsia="Arial" w:hAnsi="Arial" w:cs="Arial"/>
          <w:sz w:val="22"/>
          <w:szCs w:val="22"/>
          <w:lang w:val="en-US"/>
        </w:rPr>
        <w:t xml:space="preserve"> – Utility Requirements(RBCN-ROA-SPC_RQ-R-00001); </w:t>
      </w:r>
    </w:p>
    <w:p w14:paraId="1BEC4F79"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15</w:t>
      </w:r>
      <w:r w:rsidRPr="0045163B">
        <w:rPr>
          <w:rFonts w:ascii="Arial" w:eastAsia="Arial" w:hAnsi="Arial" w:cs="Arial"/>
          <w:sz w:val="22"/>
          <w:szCs w:val="22"/>
          <w:lang w:val="en-US"/>
        </w:rPr>
        <w:t xml:space="preserve"> – Design Progress Performance.(RBDL-PCR-GDL-Z-00001); </w:t>
      </w:r>
    </w:p>
    <w:p w14:paraId="53B19206"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16</w:t>
      </w:r>
      <w:r w:rsidRPr="0045163B">
        <w:rPr>
          <w:rFonts w:ascii="Arial" w:eastAsia="Arial" w:hAnsi="Arial" w:cs="Arial"/>
          <w:sz w:val="22"/>
          <w:szCs w:val="22"/>
          <w:lang w:val="en-US"/>
        </w:rPr>
        <w:t xml:space="preserve"> – Schedule Management Plan (RBDL-PCR-PLN-Z-00001); </w:t>
      </w:r>
    </w:p>
    <w:p w14:paraId="5E3BCB7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17</w:t>
      </w:r>
      <w:r w:rsidRPr="0045163B">
        <w:rPr>
          <w:rFonts w:ascii="Arial" w:eastAsia="Arial" w:hAnsi="Arial" w:cs="Arial"/>
          <w:sz w:val="22"/>
          <w:szCs w:val="22"/>
          <w:lang w:val="en-US"/>
        </w:rPr>
        <w:t xml:space="preserve"> – Work Breakdown Structure.( RBDL-PCR-LST-Z-00001); </w:t>
      </w:r>
    </w:p>
    <w:p w14:paraId="36F8910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18</w:t>
      </w:r>
      <w:r w:rsidRPr="0045163B">
        <w:rPr>
          <w:rFonts w:ascii="Arial" w:eastAsia="Arial" w:hAnsi="Arial" w:cs="Arial"/>
          <w:sz w:val="22"/>
          <w:szCs w:val="22"/>
          <w:lang w:val="en-US"/>
        </w:rPr>
        <w:t xml:space="preserve"> –Primavera P6 Cloud Operational Requirements.( RBDL-PCR-QRG-Z-00001); </w:t>
      </w:r>
    </w:p>
    <w:p w14:paraId="78E0B7B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19</w:t>
      </w:r>
      <w:r w:rsidRPr="0045163B">
        <w:rPr>
          <w:rFonts w:ascii="Arial" w:eastAsia="Arial" w:hAnsi="Arial" w:cs="Arial"/>
          <w:sz w:val="22"/>
          <w:szCs w:val="22"/>
          <w:lang w:val="en-US"/>
        </w:rPr>
        <w:t xml:space="preserve"> – Document Numbering and File Naming (RBGL-DMT-PRC-Z-00001); </w:t>
      </w:r>
    </w:p>
    <w:p w14:paraId="5FF5098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20</w:t>
      </w:r>
      <w:r w:rsidRPr="0045163B">
        <w:rPr>
          <w:rFonts w:ascii="Arial" w:eastAsia="Arial" w:hAnsi="Arial" w:cs="Arial"/>
          <w:sz w:val="22"/>
          <w:szCs w:val="22"/>
          <w:lang w:val="en-US"/>
        </w:rPr>
        <w:t xml:space="preserve"> – Document Numbering and Master Coding (RBGL-DMT-LST-Z-00001_21.0); </w:t>
      </w:r>
    </w:p>
    <w:p w14:paraId="567C3BDD"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21</w:t>
      </w:r>
      <w:r w:rsidRPr="0045163B">
        <w:rPr>
          <w:rFonts w:ascii="Arial" w:eastAsia="Arial" w:hAnsi="Arial" w:cs="Arial"/>
          <w:sz w:val="22"/>
          <w:szCs w:val="22"/>
          <w:lang w:val="en-US"/>
        </w:rPr>
        <w:t xml:space="preserve"> –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Guidance for Contractors (RBDL-CTF-GDL-O-00001); </w:t>
      </w:r>
    </w:p>
    <w:p w14:paraId="77117EB9"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22</w:t>
      </w:r>
      <w:r w:rsidRPr="0045163B">
        <w:rPr>
          <w:rFonts w:ascii="Arial" w:eastAsia="Arial" w:hAnsi="Arial" w:cs="Arial"/>
          <w:sz w:val="22"/>
          <w:szCs w:val="22"/>
          <w:lang w:val="en-US"/>
        </w:rPr>
        <w:t xml:space="preserve"> – Introduction to CSM-RA application( RBDL-CTF-GDL-O-00002); </w:t>
      </w:r>
    </w:p>
    <w:p w14:paraId="75377F8E"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w:t>
      </w:r>
      <w:r w:rsidRPr="0045163B">
        <w:rPr>
          <w:rFonts w:ascii="Arial" w:eastAsia="Arial" w:hAnsi="Arial" w:cs="Arial"/>
          <w:sz w:val="22"/>
          <w:szCs w:val="22"/>
          <w:lang w:val="en-US"/>
        </w:rPr>
        <w:t xml:space="preserve">3– RB Rail Deliverables information traceability Quality requirements for </w:t>
      </w:r>
      <w:proofErr w:type="spellStart"/>
      <w:r w:rsidRPr="0045163B">
        <w:rPr>
          <w:rFonts w:ascii="Arial" w:eastAsia="Arial" w:hAnsi="Arial" w:cs="Arial"/>
          <w:sz w:val="22"/>
          <w:szCs w:val="22"/>
          <w:lang w:val="en-US"/>
        </w:rPr>
        <w:t>AsBo</w:t>
      </w:r>
      <w:proofErr w:type="spellEnd"/>
      <w:r w:rsidRPr="0045163B">
        <w:rPr>
          <w:rFonts w:ascii="Arial" w:eastAsia="Arial" w:hAnsi="Arial" w:cs="Arial"/>
          <w:sz w:val="22"/>
          <w:szCs w:val="22"/>
          <w:lang w:val="en-US"/>
        </w:rPr>
        <w:t>/</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D0007-SEA-XX-XX-INS_QA-R-00001); </w:t>
      </w:r>
    </w:p>
    <w:p w14:paraId="6D2570A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24</w:t>
      </w:r>
      <w:r w:rsidRPr="0045163B">
        <w:rPr>
          <w:rFonts w:ascii="Arial" w:eastAsia="Arial" w:hAnsi="Arial" w:cs="Arial"/>
          <w:sz w:val="22"/>
          <w:szCs w:val="22"/>
          <w:lang w:val="en-US"/>
        </w:rPr>
        <w:t xml:space="preserve"> – Technical Specification for Construction (RBCN-RBR-SPC-R-00001); </w:t>
      </w:r>
    </w:p>
    <w:p w14:paraId="505ECF0B" w14:textId="7BD7C99D"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25</w:t>
      </w:r>
      <w:r w:rsidRPr="0045163B">
        <w:rPr>
          <w:rFonts w:ascii="Arial" w:eastAsia="Arial" w:hAnsi="Arial" w:cs="Arial"/>
          <w:sz w:val="22"/>
          <w:szCs w:val="22"/>
          <w:lang w:val="en-US"/>
        </w:rPr>
        <w:t xml:space="preserve"> –Design services and design</w:t>
      </w:r>
      <w:r w:rsidR="3163CA4D" w:rsidRPr="0045163B">
        <w:rPr>
          <w:rFonts w:ascii="Arial" w:eastAsia="Arial" w:hAnsi="Arial" w:cs="Arial"/>
          <w:sz w:val="22"/>
          <w:szCs w:val="22"/>
          <w:lang w:val="en-US"/>
        </w:rPr>
        <w:t xml:space="preserve"> </w:t>
      </w:r>
      <w:proofErr w:type="spellStart"/>
      <w:r w:rsidR="3163CA4D" w:rsidRPr="0045163B">
        <w:rPr>
          <w:rFonts w:ascii="Arial" w:eastAsia="Arial" w:hAnsi="Arial" w:cs="Arial"/>
          <w:sz w:val="22"/>
          <w:szCs w:val="22"/>
          <w:lang w:val="en-US"/>
        </w:rPr>
        <w:t>implemetation</w:t>
      </w:r>
      <w:proofErr w:type="spellEnd"/>
      <w:r w:rsidRPr="0045163B">
        <w:rPr>
          <w:rFonts w:ascii="Arial" w:eastAsia="Arial" w:hAnsi="Arial" w:cs="Arial"/>
          <w:sz w:val="22"/>
          <w:szCs w:val="22"/>
          <w:lang w:val="en-US"/>
        </w:rPr>
        <w:t xml:space="preserve"> supervision health and safety standard in rail </w:t>
      </w:r>
      <w:proofErr w:type="spellStart"/>
      <w:r w:rsidRPr="0045163B">
        <w:rPr>
          <w:rFonts w:ascii="Arial" w:eastAsia="Arial" w:hAnsi="Arial" w:cs="Arial"/>
          <w:sz w:val="22"/>
          <w:szCs w:val="22"/>
          <w:lang w:val="en-US"/>
        </w:rPr>
        <w:t>baltica</w:t>
      </w:r>
      <w:proofErr w:type="spellEnd"/>
      <w:r w:rsidRPr="0045163B">
        <w:rPr>
          <w:rFonts w:ascii="Arial" w:eastAsia="Arial" w:hAnsi="Arial" w:cs="Arial"/>
          <w:sz w:val="22"/>
          <w:szCs w:val="22"/>
          <w:lang w:val="en-US"/>
        </w:rPr>
        <w:t xml:space="preserve"> global project (RBGL-HSD-STN-Z-00002); </w:t>
      </w:r>
    </w:p>
    <w:p w14:paraId="6039AAE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26 </w:t>
      </w:r>
      <w:r w:rsidRPr="0045163B">
        <w:rPr>
          <w:rFonts w:ascii="Arial" w:eastAsia="Arial" w:hAnsi="Arial" w:cs="Arial"/>
          <w:sz w:val="22"/>
          <w:szCs w:val="22"/>
          <w:lang w:val="en-US"/>
        </w:rPr>
        <w:t>– RBR Quality Requirements for Providers of Products and services (RBDL-SEA-ZZ-ZZ-REQ_QA-R-00001); </w:t>
      </w:r>
    </w:p>
    <w:p w14:paraId="1F5DDB20"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27 </w:t>
      </w:r>
      <w:r w:rsidRPr="0045163B">
        <w:rPr>
          <w:rFonts w:ascii="Arial" w:eastAsia="Arial" w:hAnsi="Arial" w:cs="Arial"/>
          <w:sz w:val="22"/>
          <w:szCs w:val="22"/>
          <w:lang w:val="en-US"/>
        </w:rPr>
        <w:t>– Technical study and design proposal for Rail Baltica infrastructure maintenance facilities;  </w:t>
      </w:r>
    </w:p>
    <w:p w14:paraId="6EAC1C7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28 </w:t>
      </w:r>
      <w:r w:rsidRPr="0045163B">
        <w:rPr>
          <w:rFonts w:ascii="Arial" w:eastAsia="Arial" w:hAnsi="Arial" w:cs="Arial"/>
          <w:sz w:val="22"/>
          <w:szCs w:val="22"/>
          <w:lang w:val="en-US"/>
        </w:rPr>
        <w:t>– RBR Systems Engineering Management Plans (SE templates); </w:t>
      </w:r>
    </w:p>
    <w:p w14:paraId="5BCDB449" w14:textId="0D8B57C1"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29 - </w:t>
      </w:r>
      <w:r w:rsidRPr="0045163B">
        <w:rPr>
          <w:rFonts w:ascii="Arial" w:eastAsia="Arial" w:hAnsi="Arial" w:cs="Arial"/>
          <w:sz w:val="22"/>
          <w:szCs w:val="22"/>
          <w:lang w:val="en-US"/>
        </w:rPr>
        <w:t xml:space="preserve">Document </w:t>
      </w:r>
      <w:r w:rsidR="009543C8" w:rsidRPr="0045163B">
        <w:rPr>
          <w:rFonts w:ascii="Arial" w:eastAsia="Arial" w:hAnsi="Arial" w:cs="Arial"/>
          <w:sz w:val="22"/>
          <w:szCs w:val="22"/>
          <w:lang w:val="en-US"/>
        </w:rPr>
        <w:t>management</w:t>
      </w:r>
      <w:r w:rsidRPr="0045163B">
        <w:rPr>
          <w:rFonts w:ascii="Arial" w:eastAsia="Arial" w:hAnsi="Arial" w:cs="Arial"/>
          <w:sz w:val="22"/>
          <w:szCs w:val="22"/>
          <w:lang w:val="en-US"/>
        </w:rPr>
        <w:t xml:space="preserve"> plan (RBGL-DMT-PLN-Z-00001)l</w:t>
      </w:r>
      <w:r w:rsidRPr="0045163B">
        <w:rPr>
          <w:rFonts w:ascii="Arial" w:eastAsia="Arial" w:hAnsi="Arial" w:cs="Arial"/>
          <w:sz w:val="22"/>
          <w:szCs w:val="22"/>
          <w:u w:val="single"/>
          <w:lang w:val="en-US"/>
        </w:rPr>
        <w:t>;</w:t>
      </w:r>
      <w:r w:rsidRPr="0045163B">
        <w:rPr>
          <w:rFonts w:ascii="Arial" w:eastAsia="Arial" w:hAnsi="Arial" w:cs="Arial"/>
          <w:sz w:val="22"/>
          <w:szCs w:val="22"/>
          <w:lang w:val="en-US"/>
        </w:rPr>
        <w:t> </w:t>
      </w:r>
    </w:p>
    <w:p w14:paraId="7D8A3C7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30 - </w:t>
      </w:r>
      <w:r w:rsidRPr="0045163B">
        <w:rPr>
          <w:rFonts w:ascii="Arial" w:eastAsia="Arial" w:hAnsi="Arial" w:cs="Arial"/>
          <w:sz w:val="22"/>
          <w:szCs w:val="22"/>
          <w:lang w:val="en-US"/>
        </w:rPr>
        <w:t>Deliverables Quality Control Procedure (RBGL-RBR -PRC-Z-00005); </w:t>
      </w:r>
    </w:p>
    <w:p w14:paraId="3B3DB8C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31 </w:t>
      </w:r>
      <w:r w:rsidRPr="0045163B">
        <w:rPr>
          <w:rFonts w:ascii="Arial" w:eastAsia="Arial" w:hAnsi="Arial" w:cs="Arial"/>
          <w:sz w:val="22"/>
          <w:szCs w:val="22"/>
          <w:lang w:val="en-US"/>
        </w:rPr>
        <w:t>- 12.3_Employer_Quality_Requirements; </w:t>
      </w:r>
    </w:p>
    <w:p w14:paraId="49E6A2B4" w14:textId="2A114B9D" w:rsidR="00BF7512" w:rsidRPr="0045163B" w:rsidRDefault="00BF7512" w:rsidP="5CB6EE20">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32 </w:t>
      </w:r>
      <w:r w:rsidRPr="0045163B">
        <w:rPr>
          <w:rFonts w:ascii="Arial" w:eastAsia="Arial" w:hAnsi="Arial" w:cs="Arial"/>
          <w:sz w:val="22"/>
          <w:szCs w:val="22"/>
          <w:lang w:val="en-US"/>
        </w:rPr>
        <w:t xml:space="preserve">- </w:t>
      </w:r>
      <w:r w:rsidR="47E3AFCA" w:rsidRPr="0045163B">
        <w:rPr>
          <w:rFonts w:ascii="Arial" w:eastAsia="Arial" w:hAnsi="Arial" w:cs="Arial"/>
          <w:sz w:val="22"/>
          <w:szCs w:val="22"/>
          <w:lang w:val="en-US"/>
        </w:rPr>
        <w:t xml:space="preserve">Requirements Traceability Matrix containing the System Engineering </w:t>
      </w:r>
      <w:proofErr w:type="spellStart"/>
      <w:r w:rsidR="47E3AFCA" w:rsidRPr="0045163B">
        <w:rPr>
          <w:rFonts w:ascii="Arial" w:eastAsia="Arial" w:hAnsi="Arial" w:cs="Arial"/>
          <w:sz w:val="22"/>
          <w:szCs w:val="22"/>
          <w:lang w:val="en-US"/>
        </w:rPr>
        <w:t>Requiremetns</w:t>
      </w:r>
      <w:proofErr w:type="spellEnd"/>
      <w:r w:rsidR="47E3AFCA" w:rsidRPr="0045163B">
        <w:rPr>
          <w:rFonts w:ascii="Arial" w:eastAsia="Arial" w:hAnsi="Arial" w:cs="Arial"/>
          <w:sz w:val="22"/>
          <w:szCs w:val="22"/>
          <w:lang w:val="en-US"/>
        </w:rPr>
        <w:t xml:space="preserve"> specification "RBDL-SEA-SPC-R-00001, 5.0_ SE Requirements INFRA Design&amp;Construction.xls“;</w:t>
      </w:r>
    </w:p>
    <w:p w14:paraId="2FFCA94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33</w:t>
      </w:r>
      <w:r w:rsidRPr="0045163B">
        <w:rPr>
          <w:rFonts w:ascii="Arial" w:eastAsia="Arial" w:hAnsi="Arial" w:cs="Arial"/>
          <w:sz w:val="22"/>
          <w:szCs w:val="22"/>
          <w:lang w:val="en-US"/>
        </w:rPr>
        <w:t xml:space="preserve"> – BIM execution plan (RBDG-TPL-013-0104 BEP template); </w:t>
      </w:r>
    </w:p>
    <w:p w14:paraId="0AF628F7"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34</w:t>
      </w:r>
      <w:r w:rsidRPr="0045163B">
        <w:rPr>
          <w:rFonts w:ascii="Arial" w:eastAsia="Arial" w:hAnsi="Arial" w:cs="Arial"/>
          <w:sz w:val="22"/>
          <w:szCs w:val="22"/>
          <w:lang w:val="en-US"/>
        </w:rPr>
        <w:t xml:space="preserve"> – Inspection &amp; Test plan Template (RBGL-SEA-TPL-R-00004); </w:t>
      </w:r>
    </w:p>
    <w:p w14:paraId="208E32FF"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35– </w:t>
      </w:r>
      <w:r w:rsidRPr="0045163B">
        <w:rPr>
          <w:rFonts w:ascii="Arial" w:eastAsia="Arial" w:hAnsi="Arial" w:cs="Arial"/>
          <w:sz w:val="22"/>
          <w:szCs w:val="22"/>
          <w:lang w:val="en-US"/>
        </w:rPr>
        <w:t>Principled scheme of depot. </w:t>
      </w:r>
    </w:p>
    <w:p w14:paraId="521ED690" w14:textId="6DA713DE" w:rsidR="008F2AFD" w:rsidRPr="0045163B" w:rsidRDefault="008F2AFD" w:rsidP="008F2AFD">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36 -</w:t>
      </w:r>
      <w:r w:rsidRPr="0045163B">
        <w:rPr>
          <w:rFonts w:ascii="Arial" w:eastAsia="Arial" w:hAnsi="Arial" w:cs="Arial"/>
          <w:sz w:val="22"/>
          <w:szCs w:val="22"/>
          <w:lang w:val="en-US"/>
        </w:rPr>
        <w:t xml:space="preserve"> </w:t>
      </w:r>
      <w:proofErr w:type="spellStart"/>
      <w:r w:rsidRPr="0045163B">
        <w:rPr>
          <w:rFonts w:ascii="Arial" w:eastAsia="Arial" w:hAnsi="Arial" w:cs="Arial"/>
          <w:sz w:val="22"/>
          <w:szCs w:val="22"/>
          <w:lang w:val="en-US"/>
        </w:rPr>
        <w:t>NoBo</w:t>
      </w:r>
      <w:proofErr w:type="spellEnd"/>
      <w:r w:rsidRPr="0045163B">
        <w:rPr>
          <w:rFonts w:ascii="Arial" w:eastAsia="Arial" w:hAnsi="Arial" w:cs="Arial"/>
          <w:sz w:val="22"/>
          <w:szCs w:val="22"/>
          <w:lang w:val="en-US"/>
        </w:rPr>
        <w:t xml:space="preserve"> system definitions and interoperability evidence (D0007-SEA-GDL-R-00002)</w:t>
      </w:r>
      <w:r w:rsidR="0095254B">
        <w:rPr>
          <w:rFonts w:ascii="Arial" w:eastAsia="Arial" w:hAnsi="Arial" w:cs="Arial"/>
          <w:sz w:val="22"/>
          <w:szCs w:val="22"/>
          <w:lang w:val="en-US"/>
        </w:rPr>
        <w:t>;</w:t>
      </w:r>
      <w:r w:rsidRPr="0045163B">
        <w:rPr>
          <w:rFonts w:ascii="Arial" w:eastAsia="Arial" w:hAnsi="Arial" w:cs="Arial"/>
          <w:sz w:val="22"/>
          <w:szCs w:val="22"/>
          <w:lang w:val="en-US"/>
        </w:rPr>
        <w:t> </w:t>
      </w:r>
    </w:p>
    <w:p w14:paraId="16CB15B1" w14:textId="662A02EE" w:rsidR="00345C95" w:rsidRPr="0045163B" w:rsidRDefault="00345C95" w:rsidP="00345C95">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37 </w:t>
      </w:r>
      <w:r w:rsidRPr="0045163B">
        <w:rPr>
          <w:rFonts w:ascii="Arial" w:eastAsia="Arial" w:hAnsi="Arial" w:cs="Arial"/>
          <w:sz w:val="22"/>
          <w:szCs w:val="22"/>
          <w:lang w:val="en-US"/>
        </w:rPr>
        <w:t>– Design boundaries of the Kaunas Depot </w:t>
      </w:r>
      <w:r w:rsidR="6580329C" w:rsidRPr="0045163B">
        <w:rPr>
          <w:rFonts w:ascii="Arial" w:eastAsia="Arial" w:hAnsi="Arial" w:cs="Arial"/>
          <w:sz w:val="22"/>
          <w:szCs w:val="22"/>
          <w:lang w:val="en-US"/>
        </w:rPr>
        <w:t>I</w:t>
      </w:r>
      <w:r w:rsidR="0095254B">
        <w:rPr>
          <w:rFonts w:ascii="Arial" w:eastAsia="Arial" w:hAnsi="Arial" w:cs="Arial"/>
          <w:sz w:val="22"/>
          <w:szCs w:val="22"/>
          <w:lang w:val="en-US"/>
        </w:rPr>
        <w:t>;</w:t>
      </w:r>
    </w:p>
    <w:p w14:paraId="41F5A1A2" w14:textId="74BF5CDE" w:rsidR="6580329C" w:rsidRDefault="6580329C" w:rsidP="3BAB946B">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38 </w:t>
      </w:r>
      <w:r w:rsidRPr="0045163B">
        <w:rPr>
          <w:rFonts w:ascii="Arial" w:eastAsia="Arial" w:hAnsi="Arial" w:cs="Arial"/>
          <w:sz w:val="22"/>
          <w:szCs w:val="22"/>
          <w:lang w:val="en-US"/>
        </w:rPr>
        <w:t>- Design boundaries of the Kaunas Depot II</w:t>
      </w:r>
      <w:r w:rsidR="0095254B">
        <w:rPr>
          <w:rFonts w:ascii="Arial" w:eastAsia="Arial" w:hAnsi="Arial" w:cs="Arial"/>
          <w:sz w:val="22"/>
          <w:szCs w:val="22"/>
          <w:lang w:val="en-US"/>
        </w:rPr>
        <w:t>;</w:t>
      </w:r>
    </w:p>
    <w:p w14:paraId="63227B80" w14:textId="5D970DEE" w:rsidR="00A92DA7" w:rsidRDefault="004E2EC1" w:rsidP="3BAB946B">
      <w:pPr>
        <w:shd w:val="clear" w:color="auto" w:fill="FFFFFF" w:themeFill="background1"/>
        <w:ind w:left="426"/>
        <w:jc w:val="both"/>
        <w:rPr>
          <w:rFonts w:ascii="Arial" w:eastAsia="Arial" w:hAnsi="Arial" w:cs="Arial"/>
          <w:sz w:val="22"/>
          <w:szCs w:val="22"/>
          <w:lang w:val="en-US"/>
        </w:rPr>
      </w:pPr>
      <w:r w:rsidRPr="007E7DE8">
        <w:rPr>
          <w:rFonts w:ascii="Arial" w:eastAsia="Arial" w:hAnsi="Arial" w:cs="Arial"/>
          <w:sz w:val="22"/>
          <w:szCs w:val="22"/>
          <w:u w:val="single"/>
          <w:lang w:val="en-US"/>
        </w:rPr>
        <w:t>Annex 3</w:t>
      </w:r>
      <w:r>
        <w:rPr>
          <w:rFonts w:ascii="Arial" w:eastAsia="Arial" w:hAnsi="Arial" w:cs="Arial"/>
          <w:sz w:val="22"/>
          <w:szCs w:val="22"/>
          <w:u w:val="single"/>
          <w:lang w:val="en-US"/>
        </w:rPr>
        <w:t xml:space="preserve">9 </w:t>
      </w:r>
      <w:r w:rsidRPr="004E2EC1">
        <w:rPr>
          <w:rFonts w:ascii="Arial" w:eastAsia="Arial" w:hAnsi="Arial" w:cs="Arial"/>
          <w:sz w:val="22"/>
          <w:szCs w:val="22"/>
          <w:lang w:val="en-US"/>
        </w:rPr>
        <w:t>– Drawings in editable format</w:t>
      </w:r>
      <w:r>
        <w:rPr>
          <w:rFonts w:ascii="Arial" w:eastAsia="Arial" w:hAnsi="Arial" w:cs="Arial"/>
          <w:sz w:val="22"/>
          <w:szCs w:val="22"/>
          <w:lang w:val="en-US"/>
        </w:rPr>
        <w:t>;</w:t>
      </w:r>
    </w:p>
    <w:p w14:paraId="2A3C34D9" w14:textId="21C09CFE" w:rsidR="63D1530E" w:rsidRPr="005F1FFB" w:rsidRDefault="006357C8" w:rsidP="005F1FFB">
      <w:pPr>
        <w:widowControl/>
        <w:shd w:val="clear" w:color="auto" w:fill="FFFFFF" w:themeFill="background1"/>
        <w:ind w:left="426"/>
        <w:jc w:val="both"/>
        <w:rPr>
          <w:rFonts w:ascii="Arial" w:eastAsia="Arial" w:hAnsi="Arial" w:cs="Arial"/>
          <w:color w:val="000000" w:themeColor="text1"/>
          <w:sz w:val="22"/>
          <w:szCs w:val="22"/>
          <w:lang w:val="en-US"/>
        </w:rPr>
      </w:pPr>
      <w:r w:rsidRPr="007E7DE8">
        <w:rPr>
          <w:rFonts w:ascii="Arial" w:eastAsia="Arial" w:hAnsi="Arial" w:cs="Arial"/>
          <w:sz w:val="22"/>
          <w:szCs w:val="22"/>
          <w:u w:val="single"/>
          <w:lang w:val="en-US"/>
        </w:rPr>
        <w:t xml:space="preserve">Annex </w:t>
      </w:r>
      <w:r w:rsidR="004E2EC1">
        <w:rPr>
          <w:rFonts w:ascii="Arial" w:eastAsia="Arial" w:hAnsi="Arial" w:cs="Arial"/>
          <w:sz w:val="22"/>
          <w:szCs w:val="22"/>
          <w:u w:val="single"/>
          <w:lang w:val="en-US"/>
        </w:rPr>
        <w:t>40</w:t>
      </w:r>
      <w:r w:rsidRPr="007E7DE8">
        <w:rPr>
          <w:rFonts w:ascii="Arial" w:eastAsia="Arial" w:hAnsi="Arial" w:cs="Arial"/>
          <w:sz w:val="22"/>
          <w:szCs w:val="22"/>
          <w:lang w:val="en-US"/>
        </w:rPr>
        <w:t xml:space="preserve"> – Construction bases minimum requirements (RB068-CMS-ZZ-ZZ-SPC-R-00001</w:t>
      </w:r>
      <w:r>
        <w:rPr>
          <w:rFonts w:ascii="Arial" w:eastAsia="Arial" w:hAnsi="Arial" w:cs="Arial"/>
          <w:sz w:val="22"/>
          <w:szCs w:val="22"/>
          <w:lang w:val="en-US"/>
        </w:rPr>
        <w:t>).</w:t>
      </w:r>
    </w:p>
    <w:sectPr w:rsidR="63D1530E" w:rsidRPr="005F1FFB" w:rsidSect="00655ADD">
      <w:headerReference w:type="even" r:id="rId19"/>
      <w:headerReference w:type="default" r:id="rId20"/>
      <w:footerReference w:type="even" r:id="rId21"/>
      <w:footerReference w:type="default" r:id="rId22"/>
      <w:headerReference w:type="first" r:id="rId23"/>
      <w:footerReference w:type="first" r:id="rId24"/>
      <w:pgSz w:w="16837" w:h="11905" w:orient="landscape"/>
      <w:pgMar w:top="1701" w:right="1134" w:bottom="1130" w:left="1134"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C75B" w14:textId="77777777" w:rsidR="0011096B" w:rsidRDefault="0011096B">
      <w:r>
        <w:separator/>
      </w:r>
    </w:p>
  </w:endnote>
  <w:endnote w:type="continuationSeparator" w:id="0">
    <w:p w14:paraId="66056DB8" w14:textId="77777777" w:rsidR="0011096B" w:rsidRDefault="0011096B">
      <w:r>
        <w:continuationSeparator/>
      </w:r>
    </w:p>
  </w:endnote>
  <w:endnote w:type="continuationNotice" w:id="1">
    <w:p w14:paraId="697706C7" w14:textId="77777777" w:rsidR="0011096B" w:rsidRDefault="00110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7F21"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701D"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93A62"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95C91" w14:textId="77777777" w:rsidR="0011096B" w:rsidRDefault="0011096B">
      <w:r>
        <w:separator/>
      </w:r>
    </w:p>
  </w:footnote>
  <w:footnote w:type="continuationSeparator" w:id="0">
    <w:p w14:paraId="06BC7743" w14:textId="77777777" w:rsidR="0011096B" w:rsidRDefault="0011096B">
      <w:r>
        <w:continuationSeparator/>
      </w:r>
    </w:p>
  </w:footnote>
  <w:footnote w:type="continuationNotice" w:id="1">
    <w:p w14:paraId="07F84B1F" w14:textId="77777777" w:rsidR="0011096B" w:rsidRDefault="00110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20A7"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F5C7"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270A"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5C4"/>
    <w:multiLevelType w:val="multilevel"/>
    <w:tmpl w:val="99FAB5AE"/>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726A1D"/>
    <w:multiLevelType w:val="multilevel"/>
    <w:tmpl w:val="65D62D6C"/>
    <w:lvl w:ilvl="0">
      <w:start w:val="1"/>
      <w:numFmt w:val="bullet"/>
      <w:pStyle w:val="Heading1"/>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3C148E"/>
    <w:multiLevelType w:val="multilevel"/>
    <w:tmpl w:val="8F5EB02C"/>
    <w:lvl w:ilvl="0">
      <w:start w:val="20"/>
      <w:numFmt w:val="bullet"/>
      <w:lvlText w:val="-"/>
      <w:lvlJc w:val="left"/>
      <w:pPr>
        <w:ind w:left="720" w:hanging="360"/>
      </w:pPr>
      <w:rPr>
        <w:rFonts w:ascii="Times New Roman" w:eastAsia="Times New Roman" w:hAnsi="Times New Roman" w:cs="Times New Roman"/>
        <w:color w:val="000000"/>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777340"/>
    <w:multiLevelType w:val="multilevel"/>
    <w:tmpl w:val="7F3A362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75726EC"/>
    <w:multiLevelType w:val="hybridMultilevel"/>
    <w:tmpl w:val="E10E6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C72C14"/>
    <w:multiLevelType w:val="multilevel"/>
    <w:tmpl w:val="4A20F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CCB5E43"/>
    <w:multiLevelType w:val="multilevel"/>
    <w:tmpl w:val="1082A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F3F7A4A"/>
    <w:multiLevelType w:val="multilevel"/>
    <w:tmpl w:val="5984873A"/>
    <w:lvl w:ilvl="0">
      <w:start w:val="1"/>
      <w:numFmt w:val="bullet"/>
      <w:pStyle w:val="1"/>
      <w:lvlText w:val="●"/>
      <w:lvlJc w:val="left"/>
      <w:pPr>
        <w:ind w:left="720" w:hanging="360"/>
      </w:pPr>
      <w:rPr>
        <w:rFonts w:ascii="Noto Sans Symbols" w:eastAsia="Noto Sans Symbols" w:hAnsi="Noto Sans Symbols" w:cs="Noto Sans Symbols"/>
      </w:rPr>
    </w:lvl>
    <w:lvl w:ilvl="1">
      <w:start w:val="1"/>
      <w:numFmt w:val="bullet"/>
      <w:pStyle w:val="11"/>
      <w:lvlText w:val="o"/>
      <w:lvlJc w:val="left"/>
      <w:pPr>
        <w:ind w:left="1440" w:hanging="360"/>
      </w:pPr>
      <w:rPr>
        <w:rFonts w:ascii="Courier New" w:eastAsia="Courier New" w:hAnsi="Courier New" w:cs="Courier New"/>
      </w:rPr>
    </w:lvl>
    <w:lvl w:ilvl="2">
      <w:start w:val="1"/>
      <w:numFmt w:val="bullet"/>
      <w:pStyle w:val="111"/>
      <w:lvlText w:val="▪"/>
      <w:lvlJc w:val="left"/>
      <w:pPr>
        <w:ind w:left="2160" w:hanging="360"/>
      </w:pPr>
      <w:rPr>
        <w:rFonts w:ascii="Noto Sans Symbols" w:eastAsia="Noto Sans Symbols" w:hAnsi="Noto Sans Symbols" w:cs="Noto Sans Symbols"/>
      </w:rPr>
    </w:lvl>
    <w:lvl w:ilvl="3">
      <w:start w:val="1"/>
      <w:numFmt w:val="bullet"/>
      <w:pStyle w:val="1111"/>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0C01B2B"/>
    <w:multiLevelType w:val="multilevel"/>
    <w:tmpl w:val="D47E67B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466189A"/>
    <w:multiLevelType w:val="multilevel"/>
    <w:tmpl w:val="275434D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6195160"/>
    <w:multiLevelType w:val="multilevel"/>
    <w:tmpl w:val="118A5B0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32BC0421"/>
    <w:multiLevelType w:val="multilevel"/>
    <w:tmpl w:val="26DC44E6"/>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B2E19C8"/>
    <w:multiLevelType w:val="multilevel"/>
    <w:tmpl w:val="6FEE5CFC"/>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E545E82"/>
    <w:multiLevelType w:val="multilevel"/>
    <w:tmpl w:val="E67EEE2A"/>
    <w:lvl w:ilvl="0">
      <w:start w:val="5"/>
      <w:numFmt w:val="decimal"/>
      <w:pStyle w:val="RBTitle"/>
      <w:lvlText w:val="%1."/>
      <w:lvlJc w:val="left"/>
      <w:pPr>
        <w:ind w:left="585" w:hanging="585"/>
      </w:pPr>
      <w:rPr>
        <w:color w:val="000000"/>
      </w:rPr>
    </w:lvl>
    <w:lvl w:ilvl="1">
      <w:start w:val="2"/>
      <w:numFmt w:val="decimal"/>
      <w:pStyle w:val="RBSubtitle"/>
      <w:lvlText w:val="%1.%2."/>
      <w:lvlJc w:val="left"/>
      <w:pPr>
        <w:ind w:left="1080" w:hanging="720"/>
      </w:pPr>
      <w:rPr>
        <w:color w:val="000000"/>
      </w:rPr>
    </w:lvl>
    <w:lvl w:ilvl="2">
      <w:start w:val="1"/>
      <w:numFmt w:val="decimal"/>
      <w:pStyle w:val="---3Titre3"/>
      <w:lvlText w:val="%1.%2.%3."/>
      <w:lvlJc w:val="left"/>
      <w:pPr>
        <w:ind w:left="1440" w:hanging="720"/>
      </w:pPr>
      <w:rPr>
        <w:color w:val="000000"/>
      </w:rPr>
    </w:lvl>
    <w:lvl w:ilvl="3">
      <w:start w:val="1"/>
      <w:numFmt w:val="decimal"/>
      <w:pStyle w:val="--4Titre4"/>
      <w:lvlText w:val="%1.%2.%3.%4."/>
      <w:lvlJc w:val="left"/>
      <w:pPr>
        <w:ind w:left="2160" w:hanging="108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3240" w:hanging="144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4320" w:hanging="1800"/>
      </w:pPr>
      <w:rPr>
        <w:color w:val="000000"/>
      </w:rPr>
    </w:lvl>
    <w:lvl w:ilvl="8">
      <w:start w:val="1"/>
      <w:numFmt w:val="decimal"/>
      <w:lvlText w:val="%1.%2.%3.%4.%5.%6.%7.%8.%9."/>
      <w:lvlJc w:val="left"/>
      <w:pPr>
        <w:ind w:left="5040" w:hanging="2160"/>
      </w:pPr>
      <w:rPr>
        <w:color w:val="000000"/>
      </w:rPr>
    </w:lvl>
  </w:abstractNum>
  <w:abstractNum w:abstractNumId="14" w15:restartNumberingAfterBreak="0">
    <w:nsid w:val="3EBB5CCC"/>
    <w:multiLevelType w:val="multilevel"/>
    <w:tmpl w:val="A558A102"/>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89F431D"/>
    <w:multiLevelType w:val="multilevel"/>
    <w:tmpl w:val="DD58F9F8"/>
    <w:lvl w:ilvl="0">
      <w:start w:val="3"/>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7D0C2A"/>
    <w:multiLevelType w:val="multilevel"/>
    <w:tmpl w:val="9DF8BBA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06E5D43"/>
    <w:multiLevelType w:val="multilevel"/>
    <w:tmpl w:val="247042F6"/>
    <w:lvl w:ilvl="0">
      <w:start w:val="1"/>
      <w:numFmt w:val="decimal"/>
      <w:lvlText w:val="%1."/>
      <w:lvlJc w:val="left"/>
      <w:pPr>
        <w:ind w:left="720" w:hanging="360"/>
      </w:pPr>
      <w:rPr>
        <w:rFonts w:ascii="Arial" w:eastAsia="Arial" w:hAnsi="Arial" w:cs="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BE1212"/>
    <w:multiLevelType w:val="multilevel"/>
    <w:tmpl w:val="DF926A2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5C1429AE"/>
    <w:multiLevelType w:val="multilevel"/>
    <w:tmpl w:val="851A96B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5D0B30EE"/>
    <w:multiLevelType w:val="multilevel"/>
    <w:tmpl w:val="A7C23BA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D0B43DA"/>
    <w:multiLevelType w:val="multilevel"/>
    <w:tmpl w:val="A6127CC4"/>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0072E39"/>
    <w:multiLevelType w:val="multilevel"/>
    <w:tmpl w:val="09F2F9C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0C53A09"/>
    <w:multiLevelType w:val="multilevel"/>
    <w:tmpl w:val="5EECE86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63D7991"/>
    <w:multiLevelType w:val="multilevel"/>
    <w:tmpl w:val="1B04D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52E4591"/>
    <w:multiLevelType w:val="multilevel"/>
    <w:tmpl w:val="2CFC1E8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21007270">
    <w:abstractNumId w:val="2"/>
  </w:num>
  <w:num w:numId="2" w16cid:durableId="1846701692">
    <w:abstractNumId w:val="1"/>
  </w:num>
  <w:num w:numId="3" w16cid:durableId="1104687455">
    <w:abstractNumId w:val="0"/>
  </w:num>
  <w:num w:numId="4" w16cid:durableId="180316980">
    <w:abstractNumId w:val="11"/>
  </w:num>
  <w:num w:numId="5" w16cid:durableId="1811823237">
    <w:abstractNumId w:val="14"/>
  </w:num>
  <w:num w:numId="6" w16cid:durableId="1533609553">
    <w:abstractNumId w:val="10"/>
  </w:num>
  <w:num w:numId="7" w16cid:durableId="1290933260">
    <w:abstractNumId w:val="13"/>
  </w:num>
  <w:num w:numId="8" w16cid:durableId="634214569">
    <w:abstractNumId w:val="12"/>
  </w:num>
  <w:num w:numId="9" w16cid:durableId="1874033755">
    <w:abstractNumId w:val="15"/>
  </w:num>
  <w:num w:numId="10" w16cid:durableId="1245410004">
    <w:abstractNumId w:val="5"/>
  </w:num>
  <w:num w:numId="11" w16cid:durableId="1765875680">
    <w:abstractNumId w:val="19"/>
  </w:num>
  <w:num w:numId="12" w16cid:durableId="1648167325">
    <w:abstractNumId w:val="7"/>
  </w:num>
  <w:num w:numId="13" w16cid:durableId="1388719991">
    <w:abstractNumId w:val="3"/>
  </w:num>
  <w:num w:numId="14" w16cid:durableId="650644253">
    <w:abstractNumId w:val="24"/>
  </w:num>
  <w:num w:numId="15" w16cid:durableId="1488205900">
    <w:abstractNumId w:val="17"/>
  </w:num>
  <w:num w:numId="16" w16cid:durableId="477264601">
    <w:abstractNumId w:val="6"/>
  </w:num>
  <w:num w:numId="17" w16cid:durableId="1954744945">
    <w:abstractNumId w:val="23"/>
  </w:num>
  <w:num w:numId="18" w16cid:durableId="1975288">
    <w:abstractNumId w:val="8"/>
  </w:num>
  <w:num w:numId="19" w16cid:durableId="1242331417">
    <w:abstractNumId w:val="16"/>
  </w:num>
  <w:num w:numId="20" w16cid:durableId="2042704293">
    <w:abstractNumId w:val="18"/>
  </w:num>
  <w:num w:numId="21" w16cid:durableId="2063824185">
    <w:abstractNumId w:val="22"/>
  </w:num>
  <w:num w:numId="22" w16cid:durableId="131603916">
    <w:abstractNumId w:val="9"/>
  </w:num>
  <w:num w:numId="23" w16cid:durableId="34935080">
    <w:abstractNumId w:val="20"/>
  </w:num>
  <w:num w:numId="24" w16cid:durableId="1679648678">
    <w:abstractNumId w:val="25"/>
  </w:num>
  <w:num w:numId="25" w16cid:durableId="1103063944">
    <w:abstractNumId w:val="4"/>
  </w:num>
  <w:num w:numId="26" w16cid:durableId="11742196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E5B"/>
    <w:rsid w:val="00000455"/>
    <w:rsid w:val="000024CD"/>
    <w:rsid w:val="00006426"/>
    <w:rsid w:val="00011090"/>
    <w:rsid w:val="00013C91"/>
    <w:rsid w:val="000155F3"/>
    <w:rsid w:val="00017581"/>
    <w:rsid w:val="00017F1D"/>
    <w:rsid w:val="00024132"/>
    <w:rsid w:val="00027817"/>
    <w:rsid w:val="00030B7E"/>
    <w:rsid w:val="00040886"/>
    <w:rsid w:val="00042473"/>
    <w:rsid w:val="0004339B"/>
    <w:rsid w:val="000471E4"/>
    <w:rsid w:val="00051776"/>
    <w:rsid w:val="0005601E"/>
    <w:rsid w:val="00056C5B"/>
    <w:rsid w:val="00057A7F"/>
    <w:rsid w:val="0007199A"/>
    <w:rsid w:val="00077CF6"/>
    <w:rsid w:val="000809CF"/>
    <w:rsid w:val="00080CE8"/>
    <w:rsid w:val="00083F6C"/>
    <w:rsid w:val="00084A5F"/>
    <w:rsid w:val="000919FD"/>
    <w:rsid w:val="00094A09"/>
    <w:rsid w:val="000958C8"/>
    <w:rsid w:val="000A4FE2"/>
    <w:rsid w:val="000A7200"/>
    <w:rsid w:val="000A7395"/>
    <w:rsid w:val="000B055E"/>
    <w:rsid w:val="000B0A81"/>
    <w:rsid w:val="000B2692"/>
    <w:rsid w:val="000B55D4"/>
    <w:rsid w:val="000B5CB0"/>
    <w:rsid w:val="000B7DEA"/>
    <w:rsid w:val="000C1018"/>
    <w:rsid w:val="000C12DC"/>
    <w:rsid w:val="000C2437"/>
    <w:rsid w:val="000C3A27"/>
    <w:rsid w:val="000C4FBF"/>
    <w:rsid w:val="000C7150"/>
    <w:rsid w:val="000C7C51"/>
    <w:rsid w:val="000D301C"/>
    <w:rsid w:val="000D41CB"/>
    <w:rsid w:val="000D4977"/>
    <w:rsid w:val="000E209F"/>
    <w:rsid w:val="000E34DC"/>
    <w:rsid w:val="000E3EC8"/>
    <w:rsid w:val="000E4AF6"/>
    <w:rsid w:val="000E6E87"/>
    <w:rsid w:val="000E7758"/>
    <w:rsid w:val="000F1F74"/>
    <w:rsid w:val="000F68C8"/>
    <w:rsid w:val="0010017B"/>
    <w:rsid w:val="00103A3B"/>
    <w:rsid w:val="0011096B"/>
    <w:rsid w:val="0011244A"/>
    <w:rsid w:val="00115531"/>
    <w:rsid w:val="00116E39"/>
    <w:rsid w:val="00122533"/>
    <w:rsid w:val="00123392"/>
    <w:rsid w:val="00123A7F"/>
    <w:rsid w:val="00135869"/>
    <w:rsid w:val="001437A7"/>
    <w:rsid w:val="00144446"/>
    <w:rsid w:val="00152FE2"/>
    <w:rsid w:val="00153560"/>
    <w:rsid w:val="00153F7A"/>
    <w:rsid w:val="00160FC9"/>
    <w:rsid w:val="00165C9D"/>
    <w:rsid w:val="0016631D"/>
    <w:rsid w:val="0016778D"/>
    <w:rsid w:val="00174719"/>
    <w:rsid w:val="00191235"/>
    <w:rsid w:val="00194206"/>
    <w:rsid w:val="00196A84"/>
    <w:rsid w:val="001A089F"/>
    <w:rsid w:val="001A545B"/>
    <w:rsid w:val="001A73D0"/>
    <w:rsid w:val="001B1A22"/>
    <w:rsid w:val="001C29E6"/>
    <w:rsid w:val="001C6E4F"/>
    <w:rsid w:val="001D1FD7"/>
    <w:rsid w:val="001D2197"/>
    <w:rsid w:val="001D48BE"/>
    <w:rsid w:val="001D5FB7"/>
    <w:rsid w:val="001E678D"/>
    <w:rsid w:val="001F0634"/>
    <w:rsid w:val="001F5050"/>
    <w:rsid w:val="001F6A96"/>
    <w:rsid w:val="001F7E69"/>
    <w:rsid w:val="0022273D"/>
    <w:rsid w:val="002275CA"/>
    <w:rsid w:val="00232DE1"/>
    <w:rsid w:val="00234CB0"/>
    <w:rsid w:val="002412CA"/>
    <w:rsid w:val="0024196E"/>
    <w:rsid w:val="00241A59"/>
    <w:rsid w:val="00244F7D"/>
    <w:rsid w:val="00245DB0"/>
    <w:rsid w:val="00247F8F"/>
    <w:rsid w:val="002519C3"/>
    <w:rsid w:val="002567A9"/>
    <w:rsid w:val="0026456A"/>
    <w:rsid w:val="002666F5"/>
    <w:rsid w:val="00272E13"/>
    <w:rsid w:val="002775A4"/>
    <w:rsid w:val="00277B65"/>
    <w:rsid w:val="00280B3A"/>
    <w:rsid w:val="002936B5"/>
    <w:rsid w:val="0029453A"/>
    <w:rsid w:val="00295E36"/>
    <w:rsid w:val="00297C03"/>
    <w:rsid w:val="002A0962"/>
    <w:rsid w:val="002C0FBA"/>
    <w:rsid w:val="002C5424"/>
    <w:rsid w:val="002D06C3"/>
    <w:rsid w:val="002D2375"/>
    <w:rsid w:val="002D3CBF"/>
    <w:rsid w:val="002D70AE"/>
    <w:rsid w:val="002E0F76"/>
    <w:rsid w:val="002E6803"/>
    <w:rsid w:val="002F1B58"/>
    <w:rsid w:val="002F7984"/>
    <w:rsid w:val="002F7B04"/>
    <w:rsid w:val="0032367D"/>
    <w:rsid w:val="00326432"/>
    <w:rsid w:val="00326EBE"/>
    <w:rsid w:val="00327092"/>
    <w:rsid w:val="00327145"/>
    <w:rsid w:val="00345794"/>
    <w:rsid w:val="00345C95"/>
    <w:rsid w:val="00345D79"/>
    <w:rsid w:val="00347782"/>
    <w:rsid w:val="00352366"/>
    <w:rsid w:val="00352FD4"/>
    <w:rsid w:val="00355A23"/>
    <w:rsid w:val="00363D77"/>
    <w:rsid w:val="003656CA"/>
    <w:rsid w:val="003672FA"/>
    <w:rsid w:val="00370A4C"/>
    <w:rsid w:val="0037302C"/>
    <w:rsid w:val="003758D6"/>
    <w:rsid w:val="00380E9D"/>
    <w:rsid w:val="003824E2"/>
    <w:rsid w:val="00386A6D"/>
    <w:rsid w:val="00386EA0"/>
    <w:rsid w:val="00394134"/>
    <w:rsid w:val="00396501"/>
    <w:rsid w:val="003966A8"/>
    <w:rsid w:val="00397FC3"/>
    <w:rsid w:val="003A4040"/>
    <w:rsid w:val="003A5ECF"/>
    <w:rsid w:val="003B5005"/>
    <w:rsid w:val="003B62F1"/>
    <w:rsid w:val="003C0204"/>
    <w:rsid w:val="003C3DE7"/>
    <w:rsid w:val="003D1081"/>
    <w:rsid w:val="003E0273"/>
    <w:rsid w:val="003E1648"/>
    <w:rsid w:val="003E5ADF"/>
    <w:rsid w:val="003E758F"/>
    <w:rsid w:val="003E7D7A"/>
    <w:rsid w:val="003F1D78"/>
    <w:rsid w:val="003F727D"/>
    <w:rsid w:val="004009D5"/>
    <w:rsid w:val="00403C69"/>
    <w:rsid w:val="00415173"/>
    <w:rsid w:val="00415A93"/>
    <w:rsid w:val="00417456"/>
    <w:rsid w:val="00417ED0"/>
    <w:rsid w:val="00422822"/>
    <w:rsid w:val="004248F9"/>
    <w:rsid w:val="00424E3A"/>
    <w:rsid w:val="00424F2E"/>
    <w:rsid w:val="004442B0"/>
    <w:rsid w:val="00446E0B"/>
    <w:rsid w:val="00447226"/>
    <w:rsid w:val="0045163B"/>
    <w:rsid w:val="0045261B"/>
    <w:rsid w:val="0046111A"/>
    <w:rsid w:val="00464643"/>
    <w:rsid w:val="004649B7"/>
    <w:rsid w:val="00473508"/>
    <w:rsid w:val="00483940"/>
    <w:rsid w:val="00486CF0"/>
    <w:rsid w:val="004872F1"/>
    <w:rsid w:val="00491563"/>
    <w:rsid w:val="00495A47"/>
    <w:rsid w:val="00497B2C"/>
    <w:rsid w:val="004A04D7"/>
    <w:rsid w:val="004A3870"/>
    <w:rsid w:val="004B73D8"/>
    <w:rsid w:val="004C3715"/>
    <w:rsid w:val="004D036E"/>
    <w:rsid w:val="004D1E90"/>
    <w:rsid w:val="004D23D3"/>
    <w:rsid w:val="004D3205"/>
    <w:rsid w:val="004D5A52"/>
    <w:rsid w:val="004D7B71"/>
    <w:rsid w:val="004E2987"/>
    <w:rsid w:val="004E2EC1"/>
    <w:rsid w:val="004E560C"/>
    <w:rsid w:val="004E7795"/>
    <w:rsid w:val="004EE59C"/>
    <w:rsid w:val="004F1F7A"/>
    <w:rsid w:val="004F35C5"/>
    <w:rsid w:val="004F7134"/>
    <w:rsid w:val="00502D1B"/>
    <w:rsid w:val="005059C7"/>
    <w:rsid w:val="0052387D"/>
    <w:rsid w:val="005246D5"/>
    <w:rsid w:val="00531E8A"/>
    <w:rsid w:val="005330C4"/>
    <w:rsid w:val="00534C8D"/>
    <w:rsid w:val="005361CB"/>
    <w:rsid w:val="00542F88"/>
    <w:rsid w:val="00546A41"/>
    <w:rsid w:val="00547CF4"/>
    <w:rsid w:val="0055261E"/>
    <w:rsid w:val="0055287B"/>
    <w:rsid w:val="00553655"/>
    <w:rsid w:val="00553B4C"/>
    <w:rsid w:val="00556DF4"/>
    <w:rsid w:val="00562DFD"/>
    <w:rsid w:val="00564AD5"/>
    <w:rsid w:val="0056538F"/>
    <w:rsid w:val="00565F2F"/>
    <w:rsid w:val="00570A91"/>
    <w:rsid w:val="0057677B"/>
    <w:rsid w:val="0057715E"/>
    <w:rsid w:val="00583E2D"/>
    <w:rsid w:val="00584724"/>
    <w:rsid w:val="00592985"/>
    <w:rsid w:val="00595374"/>
    <w:rsid w:val="00595452"/>
    <w:rsid w:val="005A3CB6"/>
    <w:rsid w:val="005A4A13"/>
    <w:rsid w:val="005A509C"/>
    <w:rsid w:val="005B06B8"/>
    <w:rsid w:val="005B3E7D"/>
    <w:rsid w:val="005B75FE"/>
    <w:rsid w:val="005C1A18"/>
    <w:rsid w:val="005C22B4"/>
    <w:rsid w:val="005D12B8"/>
    <w:rsid w:val="005D1E83"/>
    <w:rsid w:val="005D22AA"/>
    <w:rsid w:val="005D6AA4"/>
    <w:rsid w:val="005D70A5"/>
    <w:rsid w:val="005D73BD"/>
    <w:rsid w:val="005F1FFB"/>
    <w:rsid w:val="005F79FB"/>
    <w:rsid w:val="005F7CBF"/>
    <w:rsid w:val="00600656"/>
    <w:rsid w:val="00601343"/>
    <w:rsid w:val="00604975"/>
    <w:rsid w:val="00604A1E"/>
    <w:rsid w:val="00604FCD"/>
    <w:rsid w:val="006058AB"/>
    <w:rsid w:val="006106D0"/>
    <w:rsid w:val="006112F3"/>
    <w:rsid w:val="006125CE"/>
    <w:rsid w:val="0061297C"/>
    <w:rsid w:val="00624B5A"/>
    <w:rsid w:val="00627805"/>
    <w:rsid w:val="00630270"/>
    <w:rsid w:val="0063028B"/>
    <w:rsid w:val="00633CB2"/>
    <w:rsid w:val="006352E2"/>
    <w:rsid w:val="006357C8"/>
    <w:rsid w:val="00642BD5"/>
    <w:rsid w:val="00650473"/>
    <w:rsid w:val="00651EDA"/>
    <w:rsid w:val="00653727"/>
    <w:rsid w:val="00654576"/>
    <w:rsid w:val="00655ADD"/>
    <w:rsid w:val="00656522"/>
    <w:rsid w:val="0066328A"/>
    <w:rsid w:val="00664071"/>
    <w:rsid w:val="006675D5"/>
    <w:rsid w:val="00672685"/>
    <w:rsid w:val="00673DCC"/>
    <w:rsid w:val="006754F9"/>
    <w:rsid w:val="00690018"/>
    <w:rsid w:val="00690517"/>
    <w:rsid w:val="00695B8F"/>
    <w:rsid w:val="00696075"/>
    <w:rsid w:val="006964F4"/>
    <w:rsid w:val="00696BD3"/>
    <w:rsid w:val="006A58B1"/>
    <w:rsid w:val="006B3FCF"/>
    <w:rsid w:val="006B77D2"/>
    <w:rsid w:val="006C0A07"/>
    <w:rsid w:val="006C0D30"/>
    <w:rsid w:val="006C3A4C"/>
    <w:rsid w:val="006C6F47"/>
    <w:rsid w:val="006D1572"/>
    <w:rsid w:val="006D1B95"/>
    <w:rsid w:val="006F2147"/>
    <w:rsid w:val="006F3790"/>
    <w:rsid w:val="006F6EB4"/>
    <w:rsid w:val="00700C03"/>
    <w:rsid w:val="00705161"/>
    <w:rsid w:val="00707CA5"/>
    <w:rsid w:val="00713C0D"/>
    <w:rsid w:val="00714F73"/>
    <w:rsid w:val="00724081"/>
    <w:rsid w:val="00737D2D"/>
    <w:rsid w:val="00740905"/>
    <w:rsid w:val="00746F47"/>
    <w:rsid w:val="00754A45"/>
    <w:rsid w:val="00755FC1"/>
    <w:rsid w:val="00756EBF"/>
    <w:rsid w:val="007573E6"/>
    <w:rsid w:val="00760E0F"/>
    <w:rsid w:val="0076306D"/>
    <w:rsid w:val="0076477D"/>
    <w:rsid w:val="00776986"/>
    <w:rsid w:val="00780EF5"/>
    <w:rsid w:val="00781B79"/>
    <w:rsid w:val="00782F75"/>
    <w:rsid w:val="007855F0"/>
    <w:rsid w:val="00785F40"/>
    <w:rsid w:val="00790251"/>
    <w:rsid w:val="007932DD"/>
    <w:rsid w:val="00794AE1"/>
    <w:rsid w:val="007A10DF"/>
    <w:rsid w:val="007A1EDA"/>
    <w:rsid w:val="007A6C08"/>
    <w:rsid w:val="007B1867"/>
    <w:rsid w:val="007C13E9"/>
    <w:rsid w:val="007C17CE"/>
    <w:rsid w:val="007C31F6"/>
    <w:rsid w:val="007D1C35"/>
    <w:rsid w:val="007D4407"/>
    <w:rsid w:val="007D7259"/>
    <w:rsid w:val="007E3B05"/>
    <w:rsid w:val="007E593E"/>
    <w:rsid w:val="007E6868"/>
    <w:rsid w:val="007F35B9"/>
    <w:rsid w:val="007F3E72"/>
    <w:rsid w:val="007F4423"/>
    <w:rsid w:val="007F6825"/>
    <w:rsid w:val="00800149"/>
    <w:rsid w:val="008042DF"/>
    <w:rsid w:val="0081288C"/>
    <w:rsid w:val="00812E10"/>
    <w:rsid w:val="00816E7F"/>
    <w:rsid w:val="008172DE"/>
    <w:rsid w:val="00821423"/>
    <w:rsid w:val="00821702"/>
    <w:rsid w:val="008245F6"/>
    <w:rsid w:val="008276A0"/>
    <w:rsid w:val="00832795"/>
    <w:rsid w:val="00835247"/>
    <w:rsid w:val="00836DB0"/>
    <w:rsid w:val="00846179"/>
    <w:rsid w:val="00846ABE"/>
    <w:rsid w:val="008525F9"/>
    <w:rsid w:val="008559B8"/>
    <w:rsid w:val="0086034D"/>
    <w:rsid w:val="00865F97"/>
    <w:rsid w:val="008674D8"/>
    <w:rsid w:val="0087466C"/>
    <w:rsid w:val="00874854"/>
    <w:rsid w:val="00881AB3"/>
    <w:rsid w:val="00883AF2"/>
    <w:rsid w:val="00885772"/>
    <w:rsid w:val="00887202"/>
    <w:rsid w:val="00892755"/>
    <w:rsid w:val="00892EE2"/>
    <w:rsid w:val="008A2B33"/>
    <w:rsid w:val="008B149D"/>
    <w:rsid w:val="008B5EF7"/>
    <w:rsid w:val="008B6D5F"/>
    <w:rsid w:val="008D0185"/>
    <w:rsid w:val="008D2BE4"/>
    <w:rsid w:val="008D3F89"/>
    <w:rsid w:val="008D7E97"/>
    <w:rsid w:val="008E0ADB"/>
    <w:rsid w:val="008E35DA"/>
    <w:rsid w:val="008E5CAE"/>
    <w:rsid w:val="008F165C"/>
    <w:rsid w:val="008F2AFD"/>
    <w:rsid w:val="008F34AF"/>
    <w:rsid w:val="0090096B"/>
    <w:rsid w:val="00901205"/>
    <w:rsid w:val="009014CA"/>
    <w:rsid w:val="00902F4E"/>
    <w:rsid w:val="009067C8"/>
    <w:rsid w:val="00920D4F"/>
    <w:rsid w:val="00925080"/>
    <w:rsid w:val="00927DAC"/>
    <w:rsid w:val="009310C1"/>
    <w:rsid w:val="00932357"/>
    <w:rsid w:val="00934D30"/>
    <w:rsid w:val="00940197"/>
    <w:rsid w:val="00946D8D"/>
    <w:rsid w:val="0095184A"/>
    <w:rsid w:val="00952105"/>
    <w:rsid w:val="0095254B"/>
    <w:rsid w:val="00952CFE"/>
    <w:rsid w:val="0095355A"/>
    <w:rsid w:val="00953F34"/>
    <w:rsid w:val="009543C8"/>
    <w:rsid w:val="00955FD2"/>
    <w:rsid w:val="00957716"/>
    <w:rsid w:val="00974F98"/>
    <w:rsid w:val="0098603B"/>
    <w:rsid w:val="00986276"/>
    <w:rsid w:val="00986933"/>
    <w:rsid w:val="00992335"/>
    <w:rsid w:val="00993887"/>
    <w:rsid w:val="009965FC"/>
    <w:rsid w:val="009A18C6"/>
    <w:rsid w:val="009A4B92"/>
    <w:rsid w:val="009A566A"/>
    <w:rsid w:val="009A73F5"/>
    <w:rsid w:val="009B5E12"/>
    <w:rsid w:val="009C002D"/>
    <w:rsid w:val="009C0106"/>
    <w:rsid w:val="009C5118"/>
    <w:rsid w:val="009F6BEB"/>
    <w:rsid w:val="009F7A0D"/>
    <w:rsid w:val="00A02D43"/>
    <w:rsid w:val="00A07070"/>
    <w:rsid w:val="00A07D26"/>
    <w:rsid w:val="00A07D65"/>
    <w:rsid w:val="00A16ABD"/>
    <w:rsid w:val="00A206D2"/>
    <w:rsid w:val="00A2537F"/>
    <w:rsid w:val="00A30EB1"/>
    <w:rsid w:val="00A43889"/>
    <w:rsid w:val="00A45582"/>
    <w:rsid w:val="00A565D8"/>
    <w:rsid w:val="00A57419"/>
    <w:rsid w:val="00A645F9"/>
    <w:rsid w:val="00A677E0"/>
    <w:rsid w:val="00A7089E"/>
    <w:rsid w:val="00A70F01"/>
    <w:rsid w:val="00A747B3"/>
    <w:rsid w:val="00A80CF3"/>
    <w:rsid w:val="00A92DA7"/>
    <w:rsid w:val="00AA5F49"/>
    <w:rsid w:val="00AA6130"/>
    <w:rsid w:val="00AA62F1"/>
    <w:rsid w:val="00AB0828"/>
    <w:rsid w:val="00AB1AC6"/>
    <w:rsid w:val="00AB336D"/>
    <w:rsid w:val="00AC7C1C"/>
    <w:rsid w:val="00AD4E20"/>
    <w:rsid w:val="00AE21F4"/>
    <w:rsid w:val="00AE5806"/>
    <w:rsid w:val="00AE758D"/>
    <w:rsid w:val="00AF2CF8"/>
    <w:rsid w:val="00AF39F2"/>
    <w:rsid w:val="00AF78BB"/>
    <w:rsid w:val="00B11231"/>
    <w:rsid w:val="00B1319C"/>
    <w:rsid w:val="00B262C3"/>
    <w:rsid w:val="00B27063"/>
    <w:rsid w:val="00B27169"/>
    <w:rsid w:val="00B37325"/>
    <w:rsid w:val="00B40401"/>
    <w:rsid w:val="00B53714"/>
    <w:rsid w:val="00B54908"/>
    <w:rsid w:val="00B619D9"/>
    <w:rsid w:val="00B64C8B"/>
    <w:rsid w:val="00B65AA2"/>
    <w:rsid w:val="00B65BDC"/>
    <w:rsid w:val="00B66E2E"/>
    <w:rsid w:val="00B679B0"/>
    <w:rsid w:val="00B748D4"/>
    <w:rsid w:val="00B835CC"/>
    <w:rsid w:val="00B86ED1"/>
    <w:rsid w:val="00B90C19"/>
    <w:rsid w:val="00B9373B"/>
    <w:rsid w:val="00B93D8A"/>
    <w:rsid w:val="00BA68DE"/>
    <w:rsid w:val="00BB7B48"/>
    <w:rsid w:val="00BC09B6"/>
    <w:rsid w:val="00BC0F3D"/>
    <w:rsid w:val="00BC0FD3"/>
    <w:rsid w:val="00BC4468"/>
    <w:rsid w:val="00BC4FD6"/>
    <w:rsid w:val="00BC51B4"/>
    <w:rsid w:val="00BC526A"/>
    <w:rsid w:val="00BC6407"/>
    <w:rsid w:val="00BD068C"/>
    <w:rsid w:val="00BD2B61"/>
    <w:rsid w:val="00BD487F"/>
    <w:rsid w:val="00BE110C"/>
    <w:rsid w:val="00BE318A"/>
    <w:rsid w:val="00BE51CC"/>
    <w:rsid w:val="00BF2482"/>
    <w:rsid w:val="00BF2ED0"/>
    <w:rsid w:val="00BF4D74"/>
    <w:rsid w:val="00BF5DD4"/>
    <w:rsid w:val="00BF6B6D"/>
    <w:rsid w:val="00BF7512"/>
    <w:rsid w:val="00C019AD"/>
    <w:rsid w:val="00C01CE3"/>
    <w:rsid w:val="00C023DE"/>
    <w:rsid w:val="00C11CC1"/>
    <w:rsid w:val="00C21F46"/>
    <w:rsid w:val="00C25432"/>
    <w:rsid w:val="00C27369"/>
    <w:rsid w:val="00C320E0"/>
    <w:rsid w:val="00C369C0"/>
    <w:rsid w:val="00C370F7"/>
    <w:rsid w:val="00C4204F"/>
    <w:rsid w:val="00C46C25"/>
    <w:rsid w:val="00C47BDA"/>
    <w:rsid w:val="00C54C35"/>
    <w:rsid w:val="00C623A7"/>
    <w:rsid w:val="00C62458"/>
    <w:rsid w:val="00C65297"/>
    <w:rsid w:val="00C70D91"/>
    <w:rsid w:val="00C71EAD"/>
    <w:rsid w:val="00C7228A"/>
    <w:rsid w:val="00C8514E"/>
    <w:rsid w:val="00C901AA"/>
    <w:rsid w:val="00C92319"/>
    <w:rsid w:val="00CA73B1"/>
    <w:rsid w:val="00CB41D0"/>
    <w:rsid w:val="00CB4346"/>
    <w:rsid w:val="00CC12FC"/>
    <w:rsid w:val="00CC4809"/>
    <w:rsid w:val="00CC6ADA"/>
    <w:rsid w:val="00CD0F0F"/>
    <w:rsid w:val="00CD5E5B"/>
    <w:rsid w:val="00CE0730"/>
    <w:rsid w:val="00CE76C9"/>
    <w:rsid w:val="00CF17A7"/>
    <w:rsid w:val="00CF7A96"/>
    <w:rsid w:val="00D058E1"/>
    <w:rsid w:val="00D05FDD"/>
    <w:rsid w:val="00D1543B"/>
    <w:rsid w:val="00D17DC2"/>
    <w:rsid w:val="00D26411"/>
    <w:rsid w:val="00D26ADA"/>
    <w:rsid w:val="00D31A8D"/>
    <w:rsid w:val="00D34F60"/>
    <w:rsid w:val="00D3580E"/>
    <w:rsid w:val="00D367E7"/>
    <w:rsid w:val="00D40354"/>
    <w:rsid w:val="00D40523"/>
    <w:rsid w:val="00D40E47"/>
    <w:rsid w:val="00D41B05"/>
    <w:rsid w:val="00D42168"/>
    <w:rsid w:val="00D42A76"/>
    <w:rsid w:val="00D42DE8"/>
    <w:rsid w:val="00D47F47"/>
    <w:rsid w:val="00D527B4"/>
    <w:rsid w:val="00D570A9"/>
    <w:rsid w:val="00D60625"/>
    <w:rsid w:val="00D60A73"/>
    <w:rsid w:val="00D62253"/>
    <w:rsid w:val="00D73040"/>
    <w:rsid w:val="00D7415B"/>
    <w:rsid w:val="00D77A01"/>
    <w:rsid w:val="00D8676D"/>
    <w:rsid w:val="00D91389"/>
    <w:rsid w:val="00D92616"/>
    <w:rsid w:val="00D96AAB"/>
    <w:rsid w:val="00DA1290"/>
    <w:rsid w:val="00DA1C15"/>
    <w:rsid w:val="00DA39DE"/>
    <w:rsid w:val="00DA4E34"/>
    <w:rsid w:val="00DA7A01"/>
    <w:rsid w:val="00DB2091"/>
    <w:rsid w:val="00DB23A3"/>
    <w:rsid w:val="00DB312F"/>
    <w:rsid w:val="00DC1970"/>
    <w:rsid w:val="00DC3E74"/>
    <w:rsid w:val="00DC58BE"/>
    <w:rsid w:val="00DC6527"/>
    <w:rsid w:val="00DC7E4F"/>
    <w:rsid w:val="00DD1FB5"/>
    <w:rsid w:val="00DD2309"/>
    <w:rsid w:val="00DD3824"/>
    <w:rsid w:val="00DD5502"/>
    <w:rsid w:val="00DD5FA1"/>
    <w:rsid w:val="00DD7B43"/>
    <w:rsid w:val="00DE6021"/>
    <w:rsid w:val="00DF1C86"/>
    <w:rsid w:val="00DF7C36"/>
    <w:rsid w:val="00E00183"/>
    <w:rsid w:val="00E01322"/>
    <w:rsid w:val="00E017DD"/>
    <w:rsid w:val="00E041C6"/>
    <w:rsid w:val="00E10AC7"/>
    <w:rsid w:val="00E12D19"/>
    <w:rsid w:val="00E130C0"/>
    <w:rsid w:val="00E14B8F"/>
    <w:rsid w:val="00E16DFF"/>
    <w:rsid w:val="00E2227E"/>
    <w:rsid w:val="00E24DBA"/>
    <w:rsid w:val="00E26981"/>
    <w:rsid w:val="00E36456"/>
    <w:rsid w:val="00E444B4"/>
    <w:rsid w:val="00E46492"/>
    <w:rsid w:val="00E47211"/>
    <w:rsid w:val="00E521FC"/>
    <w:rsid w:val="00E52DB3"/>
    <w:rsid w:val="00E6290A"/>
    <w:rsid w:val="00E644AD"/>
    <w:rsid w:val="00E64924"/>
    <w:rsid w:val="00E6683F"/>
    <w:rsid w:val="00E71E8C"/>
    <w:rsid w:val="00E72B50"/>
    <w:rsid w:val="00E75EFF"/>
    <w:rsid w:val="00E75FD1"/>
    <w:rsid w:val="00E814EB"/>
    <w:rsid w:val="00E9114E"/>
    <w:rsid w:val="00E94E63"/>
    <w:rsid w:val="00E95CAF"/>
    <w:rsid w:val="00E95E25"/>
    <w:rsid w:val="00E97011"/>
    <w:rsid w:val="00EA3468"/>
    <w:rsid w:val="00EA4A43"/>
    <w:rsid w:val="00EA5B0F"/>
    <w:rsid w:val="00EB374B"/>
    <w:rsid w:val="00EB7AB5"/>
    <w:rsid w:val="00EC4394"/>
    <w:rsid w:val="00ED3A75"/>
    <w:rsid w:val="00ED42F3"/>
    <w:rsid w:val="00EF2853"/>
    <w:rsid w:val="00EF4F69"/>
    <w:rsid w:val="00F006E7"/>
    <w:rsid w:val="00F06914"/>
    <w:rsid w:val="00F06F5D"/>
    <w:rsid w:val="00F07344"/>
    <w:rsid w:val="00F14DE3"/>
    <w:rsid w:val="00F3302A"/>
    <w:rsid w:val="00F35A10"/>
    <w:rsid w:val="00F46A16"/>
    <w:rsid w:val="00F47E41"/>
    <w:rsid w:val="00F52DFE"/>
    <w:rsid w:val="00F5396A"/>
    <w:rsid w:val="00F55108"/>
    <w:rsid w:val="00F5699A"/>
    <w:rsid w:val="00F600CE"/>
    <w:rsid w:val="00F70A16"/>
    <w:rsid w:val="00F7482A"/>
    <w:rsid w:val="00F902BC"/>
    <w:rsid w:val="00F911CF"/>
    <w:rsid w:val="00F913B1"/>
    <w:rsid w:val="00F92C2D"/>
    <w:rsid w:val="00F95EE4"/>
    <w:rsid w:val="00FA3325"/>
    <w:rsid w:val="00FA44C8"/>
    <w:rsid w:val="00FB1512"/>
    <w:rsid w:val="00FB26ED"/>
    <w:rsid w:val="00FB7013"/>
    <w:rsid w:val="00FC09DA"/>
    <w:rsid w:val="00FC2CB2"/>
    <w:rsid w:val="00FC5A1C"/>
    <w:rsid w:val="00FC70B1"/>
    <w:rsid w:val="00FD3512"/>
    <w:rsid w:val="00FD6324"/>
    <w:rsid w:val="00FD70EA"/>
    <w:rsid w:val="00FE1B01"/>
    <w:rsid w:val="00FE27C6"/>
    <w:rsid w:val="00FE4276"/>
    <w:rsid w:val="00FE53E6"/>
    <w:rsid w:val="00FE7ACE"/>
    <w:rsid w:val="0105AD64"/>
    <w:rsid w:val="012744E0"/>
    <w:rsid w:val="015FBB3D"/>
    <w:rsid w:val="01CCE668"/>
    <w:rsid w:val="02171661"/>
    <w:rsid w:val="021A999A"/>
    <w:rsid w:val="03259895"/>
    <w:rsid w:val="034F9306"/>
    <w:rsid w:val="04052FD4"/>
    <w:rsid w:val="04A49F56"/>
    <w:rsid w:val="04E3C38F"/>
    <w:rsid w:val="052F3A08"/>
    <w:rsid w:val="058A16AC"/>
    <w:rsid w:val="0644067D"/>
    <w:rsid w:val="0649164F"/>
    <w:rsid w:val="06F0618C"/>
    <w:rsid w:val="06FF0ED4"/>
    <w:rsid w:val="07CF0221"/>
    <w:rsid w:val="08BFF698"/>
    <w:rsid w:val="090D0EC8"/>
    <w:rsid w:val="092339B5"/>
    <w:rsid w:val="099E3958"/>
    <w:rsid w:val="09D1D854"/>
    <w:rsid w:val="0A35A17C"/>
    <w:rsid w:val="0B06FD13"/>
    <w:rsid w:val="0C4ABAA0"/>
    <w:rsid w:val="0C4B5D8D"/>
    <w:rsid w:val="0CF03E34"/>
    <w:rsid w:val="0E50146A"/>
    <w:rsid w:val="0E5E25B4"/>
    <w:rsid w:val="0E84207B"/>
    <w:rsid w:val="0EAB5E8C"/>
    <w:rsid w:val="0F580E0F"/>
    <w:rsid w:val="10304FCF"/>
    <w:rsid w:val="10B282E5"/>
    <w:rsid w:val="10E8DBA0"/>
    <w:rsid w:val="10F1ADB9"/>
    <w:rsid w:val="1142B29D"/>
    <w:rsid w:val="11EDBC50"/>
    <w:rsid w:val="11FC5001"/>
    <w:rsid w:val="12289E5D"/>
    <w:rsid w:val="12431CA9"/>
    <w:rsid w:val="134E89D6"/>
    <w:rsid w:val="13A7F1D6"/>
    <w:rsid w:val="1414BCA1"/>
    <w:rsid w:val="14169460"/>
    <w:rsid w:val="14551A6C"/>
    <w:rsid w:val="145B8CCC"/>
    <w:rsid w:val="15A96F67"/>
    <w:rsid w:val="1608DB7F"/>
    <w:rsid w:val="171DA995"/>
    <w:rsid w:val="17DC6F82"/>
    <w:rsid w:val="194F8246"/>
    <w:rsid w:val="195249E6"/>
    <w:rsid w:val="19B17696"/>
    <w:rsid w:val="19CD874F"/>
    <w:rsid w:val="19D15FC2"/>
    <w:rsid w:val="19E865D1"/>
    <w:rsid w:val="1A2FC3C9"/>
    <w:rsid w:val="1A6ED3E6"/>
    <w:rsid w:val="1B042080"/>
    <w:rsid w:val="1D61FF56"/>
    <w:rsid w:val="1E84FF67"/>
    <w:rsid w:val="1EF39A0B"/>
    <w:rsid w:val="1F4F24A9"/>
    <w:rsid w:val="1FA542CF"/>
    <w:rsid w:val="1FA60587"/>
    <w:rsid w:val="1FE061C1"/>
    <w:rsid w:val="20B64FCB"/>
    <w:rsid w:val="2143A4A5"/>
    <w:rsid w:val="217AA315"/>
    <w:rsid w:val="2248EB6B"/>
    <w:rsid w:val="22E3871D"/>
    <w:rsid w:val="235C5A48"/>
    <w:rsid w:val="247B59F1"/>
    <w:rsid w:val="24CF1296"/>
    <w:rsid w:val="24D8EA89"/>
    <w:rsid w:val="252DC703"/>
    <w:rsid w:val="257D69C3"/>
    <w:rsid w:val="2583A493"/>
    <w:rsid w:val="25BCB578"/>
    <w:rsid w:val="25E96720"/>
    <w:rsid w:val="263BDBB2"/>
    <w:rsid w:val="27C0B1EC"/>
    <w:rsid w:val="28572D9F"/>
    <w:rsid w:val="2896A664"/>
    <w:rsid w:val="28DF8D6B"/>
    <w:rsid w:val="29308233"/>
    <w:rsid w:val="299045A1"/>
    <w:rsid w:val="29DA7B77"/>
    <w:rsid w:val="2AE03B76"/>
    <w:rsid w:val="2B3607E0"/>
    <w:rsid w:val="2B7138FD"/>
    <w:rsid w:val="2D5CB196"/>
    <w:rsid w:val="2D5D9CF5"/>
    <w:rsid w:val="2DF7F02E"/>
    <w:rsid w:val="2E3D49B9"/>
    <w:rsid w:val="2ED7A56D"/>
    <w:rsid w:val="2F1DF3C8"/>
    <w:rsid w:val="2F645B35"/>
    <w:rsid w:val="2FB6F953"/>
    <w:rsid w:val="2FC5AB22"/>
    <w:rsid w:val="2FC740B8"/>
    <w:rsid w:val="3000141E"/>
    <w:rsid w:val="30443862"/>
    <w:rsid w:val="30A44A03"/>
    <w:rsid w:val="3163CA4D"/>
    <w:rsid w:val="317A026A"/>
    <w:rsid w:val="317CA0D5"/>
    <w:rsid w:val="317F432E"/>
    <w:rsid w:val="321474F9"/>
    <w:rsid w:val="325E2826"/>
    <w:rsid w:val="32EDAACD"/>
    <w:rsid w:val="3303D0A6"/>
    <w:rsid w:val="33057E5E"/>
    <w:rsid w:val="3371DE92"/>
    <w:rsid w:val="33C5E76B"/>
    <w:rsid w:val="33FD0E18"/>
    <w:rsid w:val="340AE95E"/>
    <w:rsid w:val="3484FAE1"/>
    <w:rsid w:val="348D555E"/>
    <w:rsid w:val="34C0CDAD"/>
    <w:rsid w:val="34F10034"/>
    <w:rsid w:val="35DE2F5B"/>
    <w:rsid w:val="35F7CC95"/>
    <w:rsid w:val="36689D3B"/>
    <w:rsid w:val="37A5D9E8"/>
    <w:rsid w:val="383B5CD5"/>
    <w:rsid w:val="38A5D125"/>
    <w:rsid w:val="3940F2B7"/>
    <w:rsid w:val="39762BDF"/>
    <w:rsid w:val="39D70F90"/>
    <w:rsid w:val="3AF492D6"/>
    <w:rsid w:val="3B3A23F6"/>
    <w:rsid w:val="3BAB946B"/>
    <w:rsid w:val="3C480FFB"/>
    <w:rsid w:val="3C9C7057"/>
    <w:rsid w:val="3CF82D74"/>
    <w:rsid w:val="3D33BE74"/>
    <w:rsid w:val="3D74B5DF"/>
    <w:rsid w:val="3DACA59E"/>
    <w:rsid w:val="3DCD9B81"/>
    <w:rsid w:val="3DE1E112"/>
    <w:rsid w:val="3E1CE379"/>
    <w:rsid w:val="3E3052F0"/>
    <w:rsid w:val="3E3E04C4"/>
    <w:rsid w:val="3EC8AD5D"/>
    <w:rsid w:val="3ED9A272"/>
    <w:rsid w:val="3FCD090F"/>
    <w:rsid w:val="400279F5"/>
    <w:rsid w:val="40517997"/>
    <w:rsid w:val="405E94DA"/>
    <w:rsid w:val="405F1D81"/>
    <w:rsid w:val="40676F3F"/>
    <w:rsid w:val="40D843C2"/>
    <w:rsid w:val="40F874D8"/>
    <w:rsid w:val="415418F2"/>
    <w:rsid w:val="4187FF7C"/>
    <w:rsid w:val="41FC388F"/>
    <w:rsid w:val="42890BA9"/>
    <w:rsid w:val="428FA2BF"/>
    <w:rsid w:val="429AAD0D"/>
    <w:rsid w:val="429AB66F"/>
    <w:rsid w:val="42C7E2AD"/>
    <w:rsid w:val="42EB1B41"/>
    <w:rsid w:val="43110D59"/>
    <w:rsid w:val="432E6A20"/>
    <w:rsid w:val="43A53701"/>
    <w:rsid w:val="44276940"/>
    <w:rsid w:val="44CB0C00"/>
    <w:rsid w:val="45724D27"/>
    <w:rsid w:val="457EFAC7"/>
    <w:rsid w:val="45AFF1F4"/>
    <w:rsid w:val="4674B1E1"/>
    <w:rsid w:val="4790F89F"/>
    <w:rsid w:val="47C67E21"/>
    <w:rsid w:val="47E3AFCA"/>
    <w:rsid w:val="484A90C7"/>
    <w:rsid w:val="49C784A5"/>
    <w:rsid w:val="4A24BB87"/>
    <w:rsid w:val="4A2A5AE4"/>
    <w:rsid w:val="4A76D62C"/>
    <w:rsid w:val="4AA123DD"/>
    <w:rsid w:val="4B45D54F"/>
    <w:rsid w:val="4B8294C3"/>
    <w:rsid w:val="4B935930"/>
    <w:rsid w:val="4BD1317F"/>
    <w:rsid w:val="4C0102DF"/>
    <w:rsid w:val="4C10265F"/>
    <w:rsid w:val="4C521837"/>
    <w:rsid w:val="4CE4F409"/>
    <w:rsid w:val="4CFB174B"/>
    <w:rsid w:val="4DC54647"/>
    <w:rsid w:val="4E110627"/>
    <w:rsid w:val="4E214FE9"/>
    <w:rsid w:val="4E716E7C"/>
    <w:rsid w:val="4FAC8D1D"/>
    <w:rsid w:val="4FB46A87"/>
    <w:rsid w:val="4FC9CE40"/>
    <w:rsid w:val="4FD6B0CE"/>
    <w:rsid w:val="4FEB9F81"/>
    <w:rsid w:val="5001AD61"/>
    <w:rsid w:val="513A46A7"/>
    <w:rsid w:val="52BE1D8E"/>
    <w:rsid w:val="54321A74"/>
    <w:rsid w:val="555A06D7"/>
    <w:rsid w:val="5599AF8B"/>
    <w:rsid w:val="55CB0E5C"/>
    <w:rsid w:val="56892C82"/>
    <w:rsid w:val="56A2FA78"/>
    <w:rsid w:val="56A5F66A"/>
    <w:rsid w:val="56FCC16C"/>
    <w:rsid w:val="5732D4DF"/>
    <w:rsid w:val="575237EB"/>
    <w:rsid w:val="57FBAE36"/>
    <w:rsid w:val="5881C5F9"/>
    <w:rsid w:val="58D43B5D"/>
    <w:rsid w:val="58DB96CD"/>
    <w:rsid w:val="58E8E2A3"/>
    <w:rsid w:val="59FFA4DF"/>
    <w:rsid w:val="5A0C7292"/>
    <w:rsid w:val="5AD0B273"/>
    <w:rsid w:val="5B5DA731"/>
    <w:rsid w:val="5B61C24A"/>
    <w:rsid w:val="5C1E1A46"/>
    <w:rsid w:val="5C51046C"/>
    <w:rsid w:val="5C7FDFA7"/>
    <w:rsid w:val="5CB6EE20"/>
    <w:rsid w:val="5CBB0E68"/>
    <w:rsid w:val="5D702C76"/>
    <w:rsid w:val="5DA327C5"/>
    <w:rsid w:val="5E7141B9"/>
    <w:rsid w:val="5E7FC4AB"/>
    <w:rsid w:val="5EB300EB"/>
    <w:rsid w:val="5F5E250E"/>
    <w:rsid w:val="5F8CD62D"/>
    <w:rsid w:val="605E7382"/>
    <w:rsid w:val="6071AF60"/>
    <w:rsid w:val="60F6CAE3"/>
    <w:rsid w:val="612D94AF"/>
    <w:rsid w:val="61C25754"/>
    <w:rsid w:val="61FC41E7"/>
    <w:rsid w:val="62262029"/>
    <w:rsid w:val="623D23EA"/>
    <w:rsid w:val="63664895"/>
    <w:rsid w:val="63837100"/>
    <w:rsid w:val="63ACF684"/>
    <w:rsid w:val="63D1530E"/>
    <w:rsid w:val="63E6C31D"/>
    <w:rsid w:val="63E7E3EA"/>
    <w:rsid w:val="642809E0"/>
    <w:rsid w:val="645ED325"/>
    <w:rsid w:val="6580329C"/>
    <w:rsid w:val="6589DE1A"/>
    <w:rsid w:val="6595F038"/>
    <w:rsid w:val="65E0BCBC"/>
    <w:rsid w:val="66191703"/>
    <w:rsid w:val="662391A1"/>
    <w:rsid w:val="663B1A20"/>
    <w:rsid w:val="6793D896"/>
    <w:rsid w:val="67A5BF27"/>
    <w:rsid w:val="67A986DB"/>
    <w:rsid w:val="6815F6CE"/>
    <w:rsid w:val="699FCEF0"/>
    <w:rsid w:val="6A9085D6"/>
    <w:rsid w:val="6B0A06D4"/>
    <w:rsid w:val="6B6D76FA"/>
    <w:rsid w:val="6C5C51D4"/>
    <w:rsid w:val="6CBEDBF6"/>
    <w:rsid w:val="6D151B34"/>
    <w:rsid w:val="6E75E7A5"/>
    <w:rsid w:val="6ECF3394"/>
    <w:rsid w:val="6F8729B0"/>
    <w:rsid w:val="6FCB4194"/>
    <w:rsid w:val="701B1F75"/>
    <w:rsid w:val="706D81E6"/>
    <w:rsid w:val="70870E93"/>
    <w:rsid w:val="70B16CB3"/>
    <w:rsid w:val="7132986A"/>
    <w:rsid w:val="71B05B17"/>
    <w:rsid w:val="72242CC1"/>
    <w:rsid w:val="72A61202"/>
    <w:rsid w:val="7337B76F"/>
    <w:rsid w:val="744E2F73"/>
    <w:rsid w:val="7453DEDC"/>
    <w:rsid w:val="7541A6B2"/>
    <w:rsid w:val="762E5B83"/>
    <w:rsid w:val="7648A25A"/>
    <w:rsid w:val="766A0E09"/>
    <w:rsid w:val="76A674E6"/>
    <w:rsid w:val="774F0CBB"/>
    <w:rsid w:val="7785A1A0"/>
    <w:rsid w:val="7799EA6D"/>
    <w:rsid w:val="786CD44D"/>
    <w:rsid w:val="7B337D08"/>
    <w:rsid w:val="7B38552C"/>
    <w:rsid w:val="7B4A2610"/>
    <w:rsid w:val="7BA93FE5"/>
    <w:rsid w:val="7C9A2D08"/>
    <w:rsid w:val="7D16D062"/>
    <w:rsid w:val="7D5F728E"/>
    <w:rsid w:val="7DA78325"/>
    <w:rsid w:val="7DB90707"/>
    <w:rsid w:val="7E7E926A"/>
    <w:rsid w:val="7EA1DD83"/>
    <w:rsid w:val="7EF52697"/>
    <w:rsid w:val="7F11B4FC"/>
    <w:rsid w:val="7FA98CE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380D"/>
  <w15:docId w15:val="{DB08E0CE-8BFD-453E-9947-42175DD0C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8E9"/>
    <w:pPr>
      <w:suppressAutoHyphens/>
    </w:pPr>
    <w:rPr>
      <w:rFonts w:eastAsia="Lucida Sans Unicode"/>
      <w:kern w:val="1"/>
      <w:lang w:eastAsia="ar-SA"/>
    </w:rPr>
  </w:style>
  <w:style w:type="paragraph" w:styleId="Heading1">
    <w:name w:val="heading 1"/>
    <w:basedOn w:val="Normal"/>
    <w:next w:val="Normal"/>
    <w:link w:val="Heading1Char"/>
    <w:qFormat/>
    <w:rsid w:val="009B0463"/>
    <w:pPr>
      <w:numPr>
        <w:numId w:val="2"/>
      </w:numPr>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463"/>
    <w:rPr>
      <w:rFonts w:eastAsia="Lucida Sans Unicode"/>
      <w:b/>
      <w:bCs/>
      <w:kern w:val="1"/>
      <w:sz w:val="28"/>
      <w:szCs w:val="28"/>
      <w:lang w:eastAsia="ar-SA"/>
    </w:rPr>
  </w:style>
  <w:style w:type="character" w:customStyle="1" w:styleId="Heading2Char">
    <w:name w:val="Heading 2 Char"/>
    <w:basedOn w:val="DefaultParagraphFont"/>
    <w:link w:val="Heading2"/>
    <w:rsid w:val="009B0463"/>
    <w:rPr>
      <w:rFonts w:eastAsia="Lucida Sans Unicode"/>
      <w:b/>
      <w:kern w:val="1"/>
      <w:szCs w:val="20"/>
      <w:lang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pPr>
    <w:rPr>
      <w:color w:val="000000"/>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jc w:val="both"/>
    </w:pPr>
    <w:rPr>
      <w:rFonts w:eastAsia="Lucida Sans Unicode"/>
      <w:kern w:val="2"/>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customStyle="1" w:styleId="UnresolvedMention1">
    <w:name w:val="Unresolved Mention1"/>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7"/>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7"/>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Cs w:val="30"/>
      <w:lang w:val="en-US"/>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rPr>
      <w:rFonts w:eastAsia="Lucida Sans Unicode"/>
      <w:kern w:val="1"/>
      <w:lang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531EF3"/>
    <w:rPr>
      <w:noProof/>
      <w:lang w:val="lt-LT"/>
    </w:rPr>
  </w:style>
  <w:style w:type="paragraph" w:customStyle="1" w:styleId="1">
    <w:name w:val="1."/>
    <w:basedOn w:val="Normal"/>
    <w:qFormat/>
    <w:rsid w:val="00CC4001"/>
    <w:pPr>
      <w:widowControl/>
      <w:numPr>
        <w:numId w:val="12"/>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CC4001"/>
    <w:pPr>
      <w:numPr>
        <w:ilvl w:val="1"/>
      </w:numPr>
      <w:ind w:left="792"/>
    </w:pPr>
  </w:style>
  <w:style w:type="paragraph" w:customStyle="1" w:styleId="111">
    <w:name w:val="1.1.1."/>
    <w:basedOn w:val="11"/>
    <w:qFormat/>
    <w:rsid w:val="00CC4001"/>
    <w:pPr>
      <w:numPr>
        <w:ilvl w:val="2"/>
      </w:numPr>
      <w:tabs>
        <w:tab w:val="num" w:pos="231"/>
        <w:tab w:val="num" w:pos="360"/>
      </w:tabs>
      <w:ind w:left="231" w:hanging="720"/>
    </w:pPr>
  </w:style>
  <w:style w:type="character" w:customStyle="1" w:styleId="11Char">
    <w:name w:val="1.1. Char"/>
    <w:basedOn w:val="DefaultParagraphFont"/>
    <w:link w:val="11"/>
    <w:rsid w:val="00CC4001"/>
  </w:style>
  <w:style w:type="paragraph" w:customStyle="1" w:styleId="1111">
    <w:name w:val="1.1.1.1"/>
    <w:basedOn w:val="111"/>
    <w:qFormat/>
    <w:rsid w:val="00CC4001"/>
    <w:pPr>
      <w:numPr>
        <w:ilvl w:val="3"/>
      </w:numPr>
      <w:tabs>
        <w:tab w:val="num" w:pos="360"/>
      </w:tabs>
      <w:ind w:left="375" w:hanging="864"/>
    </w:pPr>
  </w:style>
  <w:style w:type="character" w:customStyle="1" w:styleId="cf01">
    <w:name w:val="cf01"/>
    <w:basedOn w:val="DefaultParagraphFont"/>
    <w:rsid w:val="00910B3E"/>
    <w:rPr>
      <w:rFonts w:ascii="Segoe UI" w:hAnsi="Segoe UI" w:cs="Segoe UI" w:hint="default"/>
      <w:b/>
      <w:bCs/>
      <w:sz w:val="18"/>
      <w:szCs w:val="18"/>
      <w:u w:val="single"/>
    </w:rPr>
  </w:style>
  <w:style w:type="character" w:customStyle="1" w:styleId="Mention1">
    <w:name w:val="Mention1"/>
    <w:basedOn w:val="DefaultParagraphFont"/>
    <w:uiPriority w:val="99"/>
    <w:unhideWhenUsed/>
    <w:rsid w:val="00C36087"/>
    <w:rPr>
      <w:color w:val="2B579A"/>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character" w:styleId="UnresolvedMention">
    <w:name w:val="Unresolved Mention"/>
    <w:basedOn w:val="DefaultParagraphFont"/>
    <w:uiPriority w:val="99"/>
    <w:semiHidden/>
    <w:unhideWhenUsed/>
    <w:rsid w:val="00BF75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49387">
      <w:bodyDiv w:val="1"/>
      <w:marLeft w:val="0"/>
      <w:marRight w:val="0"/>
      <w:marTop w:val="0"/>
      <w:marBottom w:val="0"/>
      <w:divBdr>
        <w:top w:val="none" w:sz="0" w:space="0" w:color="auto"/>
        <w:left w:val="none" w:sz="0" w:space="0" w:color="auto"/>
        <w:bottom w:val="none" w:sz="0" w:space="0" w:color="auto"/>
        <w:right w:val="none" w:sz="0" w:space="0" w:color="auto"/>
      </w:divBdr>
    </w:div>
    <w:div w:id="865093338">
      <w:bodyDiv w:val="1"/>
      <w:marLeft w:val="0"/>
      <w:marRight w:val="0"/>
      <w:marTop w:val="0"/>
      <w:marBottom w:val="0"/>
      <w:divBdr>
        <w:top w:val="none" w:sz="0" w:space="0" w:color="auto"/>
        <w:left w:val="none" w:sz="0" w:space="0" w:color="auto"/>
        <w:bottom w:val="none" w:sz="0" w:space="0" w:color="auto"/>
        <w:right w:val="none" w:sz="0" w:space="0" w:color="auto"/>
      </w:divBdr>
    </w:div>
    <w:div w:id="1074353073">
      <w:bodyDiv w:val="1"/>
      <w:marLeft w:val="0"/>
      <w:marRight w:val="0"/>
      <w:marTop w:val="0"/>
      <w:marBottom w:val="0"/>
      <w:divBdr>
        <w:top w:val="none" w:sz="0" w:space="0" w:color="auto"/>
        <w:left w:val="none" w:sz="0" w:space="0" w:color="auto"/>
        <w:bottom w:val="none" w:sz="0" w:space="0" w:color="auto"/>
        <w:right w:val="none" w:sz="0" w:space="0" w:color="auto"/>
      </w:divBdr>
    </w:div>
    <w:div w:id="1217165039">
      <w:bodyDiv w:val="1"/>
      <w:marLeft w:val="0"/>
      <w:marRight w:val="0"/>
      <w:marTop w:val="0"/>
      <w:marBottom w:val="0"/>
      <w:divBdr>
        <w:top w:val="none" w:sz="0" w:space="0" w:color="auto"/>
        <w:left w:val="none" w:sz="0" w:space="0" w:color="auto"/>
        <w:bottom w:val="none" w:sz="0" w:space="0" w:color="auto"/>
        <w:right w:val="none" w:sz="0" w:space="0" w:color="auto"/>
      </w:divBdr>
      <w:divsChild>
        <w:div w:id="3558597">
          <w:marLeft w:val="0"/>
          <w:marRight w:val="0"/>
          <w:marTop w:val="0"/>
          <w:marBottom w:val="0"/>
          <w:divBdr>
            <w:top w:val="none" w:sz="0" w:space="0" w:color="auto"/>
            <w:left w:val="none" w:sz="0" w:space="0" w:color="auto"/>
            <w:bottom w:val="none" w:sz="0" w:space="0" w:color="auto"/>
            <w:right w:val="none" w:sz="0" w:space="0" w:color="auto"/>
          </w:divBdr>
        </w:div>
        <w:div w:id="189345499">
          <w:marLeft w:val="0"/>
          <w:marRight w:val="0"/>
          <w:marTop w:val="0"/>
          <w:marBottom w:val="0"/>
          <w:divBdr>
            <w:top w:val="none" w:sz="0" w:space="0" w:color="auto"/>
            <w:left w:val="none" w:sz="0" w:space="0" w:color="auto"/>
            <w:bottom w:val="none" w:sz="0" w:space="0" w:color="auto"/>
            <w:right w:val="none" w:sz="0" w:space="0" w:color="auto"/>
          </w:divBdr>
        </w:div>
        <w:div w:id="252520201">
          <w:marLeft w:val="0"/>
          <w:marRight w:val="0"/>
          <w:marTop w:val="0"/>
          <w:marBottom w:val="0"/>
          <w:divBdr>
            <w:top w:val="none" w:sz="0" w:space="0" w:color="auto"/>
            <w:left w:val="none" w:sz="0" w:space="0" w:color="auto"/>
            <w:bottom w:val="none" w:sz="0" w:space="0" w:color="auto"/>
            <w:right w:val="none" w:sz="0" w:space="0" w:color="auto"/>
          </w:divBdr>
        </w:div>
        <w:div w:id="289408393">
          <w:marLeft w:val="0"/>
          <w:marRight w:val="0"/>
          <w:marTop w:val="0"/>
          <w:marBottom w:val="0"/>
          <w:divBdr>
            <w:top w:val="none" w:sz="0" w:space="0" w:color="auto"/>
            <w:left w:val="none" w:sz="0" w:space="0" w:color="auto"/>
            <w:bottom w:val="none" w:sz="0" w:space="0" w:color="auto"/>
            <w:right w:val="none" w:sz="0" w:space="0" w:color="auto"/>
          </w:divBdr>
        </w:div>
        <w:div w:id="295835240">
          <w:marLeft w:val="0"/>
          <w:marRight w:val="0"/>
          <w:marTop w:val="0"/>
          <w:marBottom w:val="0"/>
          <w:divBdr>
            <w:top w:val="none" w:sz="0" w:space="0" w:color="auto"/>
            <w:left w:val="none" w:sz="0" w:space="0" w:color="auto"/>
            <w:bottom w:val="none" w:sz="0" w:space="0" w:color="auto"/>
            <w:right w:val="none" w:sz="0" w:space="0" w:color="auto"/>
          </w:divBdr>
        </w:div>
        <w:div w:id="339048514">
          <w:marLeft w:val="0"/>
          <w:marRight w:val="0"/>
          <w:marTop w:val="0"/>
          <w:marBottom w:val="0"/>
          <w:divBdr>
            <w:top w:val="none" w:sz="0" w:space="0" w:color="auto"/>
            <w:left w:val="none" w:sz="0" w:space="0" w:color="auto"/>
            <w:bottom w:val="none" w:sz="0" w:space="0" w:color="auto"/>
            <w:right w:val="none" w:sz="0" w:space="0" w:color="auto"/>
          </w:divBdr>
        </w:div>
        <w:div w:id="383915512">
          <w:marLeft w:val="0"/>
          <w:marRight w:val="0"/>
          <w:marTop w:val="0"/>
          <w:marBottom w:val="0"/>
          <w:divBdr>
            <w:top w:val="none" w:sz="0" w:space="0" w:color="auto"/>
            <w:left w:val="none" w:sz="0" w:space="0" w:color="auto"/>
            <w:bottom w:val="none" w:sz="0" w:space="0" w:color="auto"/>
            <w:right w:val="none" w:sz="0" w:space="0" w:color="auto"/>
          </w:divBdr>
        </w:div>
        <w:div w:id="439447899">
          <w:marLeft w:val="0"/>
          <w:marRight w:val="0"/>
          <w:marTop w:val="0"/>
          <w:marBottom w:val="0"/>
          <w:divBdr>
            <w:top w:val="none" w:sz="0" w:space="0" w:color="auto"/>
            <w:left w:val="none" w:sz="0" w:space="0" w:color="auto"/>
            <w:bottom w:val="none" w:sz="0" w:space="0" w:color="auto"/>
            <w:right w:val="none" w:sz="0" w:space="0" w:color="auto"/>
          </w:divBdr>
        </w:div>
        <w:div w:id="440301116">
          <w:marLeft w:val="0"/>
          <w:marRight w:val="0"/>
          <w:marTop w:val="0"/>
          <w:marBottom w:val="0"/>
          <w:divBdr>
            <w:top w:val="none" w:sz="0" w:space="0" w:color="auto"/>
            <w:left w:val="none" w:sz="0" w:space="0" w:color="auto"/>
            <w:bottom w:val="none" w:sz="0" w:space="0" w:color="auto"/>
            <w:right w:val="none" w:sz="0" w:space="0" w:color="auto"/>
          </w:divBdr>
        </w:div>
        <w:div w:id="503475939">
          <w:marLeft w:val="0"/>
          <w:marRight w:val="0"/>
          <w:marTop w:val="0"/>
          <w:marBottom w:val="0"/>
          <w:divBdr>
            <w:top w:val="none" w:sz="0" w:space="0" w:color="auto"/>
            <w:left w:val="none" w:sz="0" w:space="0" w:color="auto"/>
            <w:bottom w:val="none" w:sz="0" w:space="0" w:color="auto"/>
            <w:right w:val="none" w:sz="0" w:space="0" w:color="auto"/>
          </w:divBdr>
        </w:div>
        <w:div w:id="505021886">
          <w:marLeft w:val="0"/>
          <w:marRight w:val="0"/>
          <w:marTop w:val="0"/>
          <w:marBottom w:val="0"/>
          <w:divBdr>
            <w:top w:val="none" w:sz="0" w:space="0" w:color="auto"/>
            <w:left w:val="none" w:sz="0" w:space="0" w:color="auto"/>
            <w:bottom w:val="none" w:sz="0" w:space="0" w:color="auto"/>
            <w:right w:val="none" w:sz="0" w:space="0" w:color="auto"/>
          </w:divBdr>
        </w:div>
        <w:div w:id="551306576">
          <w:marLeft w:val="0"/>
          <w:marRight w:val="0"/>
          <w:marTop w:val="0"/>
          <w:marBottom w:val="0"/>
          <w:divBdr>
            <w:top w:val="none" w:sz="0" w:space="0" w:color="auto"/>
            <w:left w:val="none" w:sz="0" w:space="0" w:color="auto"/>
            <w:bottom w:val="none" w:sz="0" w:space="0" w:color="auto"/>
            <w:right w:val="none" w:sz="0" w:space="0" w:color="auto"/>
          </w:divBdr>
        </w:div>
        <w:div w:id="633488906">
          <w:marLeft w:val="0"/>
          <w:marRight w:val="0"/>
          <w:marTop w:val="0"/>
          <w:marBottom w:val="0"/>
          <w:divBdr>
            <w:top w:val="none" w:sz="0" w:space="0" w:color="auto"/>
            <w:left w:val="none" w:sz="0" w:space="0" w:color="auto"/>
            <w:bottom w:val="none" w:sz="0" w:space="0" w:color="auto"/>
            <w:right w:val="none" w:sz="0" w:space="0" w:color="auto"/>
          </w:divBdr>
        </w:div>
        <w:div w:id="773213361">
          <w:marLeft w:val="0"/>
          <w:marRight w:val="0"/>
          <w:marTop w:val="0"/>
          <w:marBottom w:val="0"/>
          <w:divBdr>
            <w:top w:val="none" w:sz="0" w:space="0" w:color="auto"/>
            <w:left w:val="none" w:sz="0" w:space="0" w:color="auto"/>
            <w:bottom w:val="none" w:sz="0" w:space="0" w:color="auto"/>
            <w:right w:val="none" w:sz="0" w:space="0" w:color="auto"/>
          </w:divBdr>
        </w:div>
        <w:div w:id="811337781">
          <w:marLeft w:val="0"/>
          <w:marRight w:val="0"/>
          <w:marTop w:val="0"/>
          <w:marBottom w:val="0"/>
          <w:divBdr>
            <w:top w:val="none" w:sz="0" w:space="0" w:color="auto"/>
            <w:left w:val="none" w:sz="0" w:space="0" w:color="auto"/>
            <w:bottom w:val="none" w:sz="0" w:space="0" w:color="auto"/>
            <w:right w:val="none" w:sz="0" w:space="0" w:color="auto"/>
          </w:divBdr>
        </w:div>
        <w:div w:id="836648202">
          <w:marLeft w:val="0"/>
          <w:marRight w:val="0"/>
          <w:marTop w:val="0"/>
          <w:marBottom w:val="0"/>
          <w:divBdr>
            <w:top w:val="none" w:sz="0" w:space="0" w:color="auto"/>
            <w:left w:val="none" w:sz="0" w:space="0" w:color="auto"/>
            <w:bottom w:val="none" w:sz="0" w:space="0" w:color="auto"/>
            <w:right w:val="none" w:sz="0" w:space="0" w:color="auto"/>
          </w:divBdr>
        </w:div>
        <w:div w:id="843205279">
          <w:marLeft w:val="0"/>
          <w:marRight w:val="0"/>
          <w:marTop w:val="0"/>
          <w:marBottom w:val="0"/>
          <w:divBdr>
            <w:top w:val="none" w:sz="0" w:space="0" w:color="auto"/>
            <w:left w:val="none" w:sz="0" w:space="0" w:color="auto"/>
            <w:bottom w:val="none" w:sz="0" w:space="0" w:color="auto"/>
            <w:right w:val="none" w:sz="0" w:space="0" w:color="auto"/>
          </w:divBdr>
        </w:div>
        <w:div w:id="917396837">
          <w:marLeft w:val="0"/>
          <w:marRight w:val="0"/>
          <w:marTop w:val="0"/>
          <w:marBottom w:val="0"/>
          <w:divBdr>
            <w:top w:val="none" w:sz="0" w:space="0" w:color="auto"/>
            <w:left w:val="none" w:sz="0" w:space="0" w:color="auto"/>
            <w:bottom w:val="none" w:sz="0" w:space="0" w:color="auto"/>
            <w:right w:val="none" w:sz="0" w:space="0" w:color="auto"/>
          </w:divBdr>
        </w:div>
        <w:div w:id="941766598">
          <w:marLeft w:val="0"/>
          <w:marRight w:val="0"/>
          <w:marTop w:val="0"/>
          <w:marBottom w:val="0"/>
          <w:divBdr>
            <w:top w:val="none" w:sz="0" w:space="0" w:color="auto"/>
            <w:left w:val="none" w:sz="0" w:space="0" w:color="auto"/>
            <w:bottom w:val="none" w:sz="0" w:space="0" w:color="auto"/>
            <w:right w:val="none" w:sz="0" w:space="0" w:color="auto"/>
          </w:divBdr>
        </w:div>
        <w:div w:id="986594447">
          <w:marLeft w:val="0"/>
          <w:marRight w:val="0"/>
          <w:marTop w:val="0"/>
          <w:marBottom w:val="0"/>
          <w:divBdr>
            <w:top w:val="none" w:sz="0" w:space="0" w:color="auto"/>
            <w:left w:val="none" w:sz="0" w:space="0" w:color="auto"/>
            <w:bottom w:val="none" w:sz="0" w:space="0" w:color="auto"/>
            <w:right w:val="none" w:sz="0" w:space="0" w:color="auto"/>
          </w:divBdr>
        </w:div>
        <w:div w:id="987977459">
          <w:marLeft w:val="0"/>
          <w:marRight w:val="0"/>
          <w:marTop w:val="0"/>
          <w:marBottom w:val="0"/>
          <w:divBdr>
            <w:top w:val="none" w:sz="0" w:space="0" w:color="auto"/>
            <w:left w:val="none" w:sz="0" w:space="0" w:color="auto"/>
            <w:bottom w:val="none" w:sz="0" w:space="0" w:color="auto"/>
            <w:right w:val="none" w:sz="0" w:space="0" w:color="auto"/>
          </w:divBdr>
        </w:div>
        <w:div w:id="1035614190">
          <w:marLeft w:val="0"/>
          <w:marRight w:val="0"/>
          <w:marTop w:val="0"/>
          <w:marBottom w:val="0"/>
          <w:divBdr>
            <w:top w:val="none" w:sz="0" w:space="0" w:color="auto"/>
            <w:left w:val="none" w:sz="0" w:space="0" w:color="auto"/>
            <w:bottom w:val="none" w:sz="0" w:space="0" w:color="auto"/>
            <w:right w:val="none" w:sz="0" w:space="0" w:color="auto"/>
          </w:divBdr>
        </w:div>
        <w:div w:id="1087723999">
          <w:marLeft w:val="0"/>
          <w:marRight w:val="0"/>
          <w:marTop w:val="0"/>
          <w:marBottom w:val="0"/>
          <w:divBdr>
            <w:top w:val="none" w:sz="0" w:space="0" w:color="auto"/>
            <w:left w:val="none" w:sz="0" w:space="0" w:color="auto"/>
            <w:bottom w:val="none" w:sz="0" w:space="0" w:color="auto"/>
            <w:right w:val="none" w:sz="0" w:space="0" w:color="auto"/>
          </w:divBdr>
        </w:div>
        <w:div w:id="1265647199">
          <w:marLeft w:val="0"/>
          <w:marRight w:val="0"/>
          <w:marTop w:val="0"/>
          <w:marBottom w:val="0"/>
          <w:divBdr>
            <w:top w:val="none" w:sz="0" w:space="0" w:color="auto"/>
            <w:left w:val="none" w:sz="0" w:space="0" w:color="auto"/>
            <w:bottom w:val="none" w:sz="0" w:space="0" w:color="auto"/>
            <w:right w:val="none" w:sz="0" w:space="0" w:color="auto"/>
          </w:divBdr>
        </w:div>
        <w:div w:id="1314137734">
          <w:marLeft w:val="0"/>
          <w:marRight w:val="0"/>
          <w:marTop w:val="0"/>
          <w:marBottom w:val="0"/>
          <w:divBdr>
            <w:top w:val="none" w:sz="0" w:space="0" w:color="auto"/>
            <w:left w:val="none" w:sz="0" w:space="0" w:color="auto"/>
            <w:bottom w:val="none" w:sz="0" w:space="0" w:color="auto"/>
            <w:right w:val="none" w:sz="0" w:space="0" w:color="auto"/>
          </w:divBdr>
        </w:div>
        <w:div w:id="1344169558">
          <w:marLeft w:val="0"/>
          <w:marRight w:val="0"/>
          <w:marTop w:val="0"/>
          <w:marBottom w:val="0"/>
          <w:divBdr>
            <w:top w:val="none" w:sz="0" w:space="0" w:color="auto"/>
            <w:left w:val="none" w:sz="0" w:space="0" w:color="auto"/>
            <w:bottom w:val="none" w:sz="0" w:space="0" w:color="auto"/>
            <w:right w:val="none" w:sz="0" w:space="0" w:color="auto"/>
          </w:divBdr>
        </w:div>
        <w:div w:id="1363288641">
          <w:marLeft w:val="0"/>
          <w:marRight w:val="0"/>
          <w:marTop w:val="0"/>
          <w:marBottom w:val="0"/>
          <w:divBdr>
            <w:top w:val="none" w:sz="0" w:space="0" w:color="auto"/>
            <w:left w:val="none" w:sz="0" w:space="0" w:color="auto"/>
            <w:bottom w:val="none" w:sz="0" w:space="0" w:color="auto"/>
            <w:right w:val="none" w:sz="0" w:space="0" w:color="auto"/>
          </w:divBdr>
        </w:div>
        <w:div w:id="1435830074">
          <w:marLeft w:val="0"/>
          <w:marRight w:val="0"/>
          <w:marTop w:val="0"/>
          <w:marBottom w:val="0"/>
          <w:divBdr>
            <w:top w:val="none" w:sz="0" w:space="0" w:color="auto"/>
            <w:left w:val="none" w:sz="0" w:space="0" w:color="auto"/>
            <w:bottom w:val="none" w:sz="0" w:space="0" w:color="auto"/>
            <w:right w:val="none" w:sz="0" w:space="0" w:color="auto"/>
          </w:divBdr>
        </w:div>
        <w:div w:id="1506898809">
          <w:marLeft w:val="0"/>
          <w:marRight w:val="0"/>
          <w:marTop w:val="0"/>
          <w:marBottom w:val="0"/>
          <w:divBdr>
            <w:top w:val="none" w:sz="0" w:space="0" w:color="auto"/>
            <w:left w:val="none" w:sz="0" w:space="0" w:color="auto"/>
            <w:bottom w:val="none" w:sz="0" w:space="0" w:color="auto"/>
            <w:right w:val="none" w:sz="0" w:space="0" w:color="auto"/>
          </w:divBdr>
        </w:div>
        <w:div w:id="1569420267">
          <w:marLeft w:val="0"/>
          <w:marRight w:val="0"/>
          <w:marTop w:val="0"/>
          <w:marBottom w:val="0"/>
          <w:divBdr>
            <w:top w:val="none" w:sz="0" w:space="0" w:color="auto"/>
            <w:left w:val="none" w:sz="0" w:space="0" w:color="auto"/>
            <w:bottom w:val="none" w:sz="0" w:space="0" w:color="auto"/>
            <w:right w:val="none" w:sz="0" w:space="0" w:color="auto"/>
          </w:divBdr>
        </w:div>
        <w:div w:id="1596597271">
          <w:marLeft w:val="0"/>
          <w:marRight w:val="0"/>
          <w:marTop w:val="0"/>
          <w:marBottom w:val="0"/>
          <w:divBdr>
            <w:top w:val="none" w:sz="0" w:space="0" w:color="auto"/>
            <w:left w:val="none" w:sz="0" w:space="0" w:color="auto"/>
            <w:bottom w:val="none" w:sz="0" w:space="0" w:color="auto"/>
            <w:right w:val="none" w:sz="0" w:space="0" w:color="auto"/>
          </w:divBdr>
        </w:div>
        <w:div w:id="1896621840">
          <w:marLeft w:val="0"/>
          <w:marRight w:val="0"/>
          <w:marTop w:val="0"/>
          <w:marBottom w:val="0"/>
          <w:divBdr>
            <w:top w:val="none" w:sz="0" w:space="0" w:color="auto"/>
            <w:left w:val="none" w:sz="0" w:space="0" w:color="auto"/>
            <w:bottom w:val="none" w:sz="0" w:space="0" w:color="auto"/>
            <w:right w:val="none" w:sz="0" w:space="0" w:color="auto"/>
          </w:divBdr>
        </w:div>
        <w:div w:id="1944533049">
          <w:marLeft w:val="0"/>
          <w:marRight w:val="0"/>
          <w:marTop w:val="0"/>
          <w:marBottom w:val="0"/>
          <w:divBdr>
            <w:top w:val="none" w:sz="0" w:space="0" w:color="auto"/>
            <w:left w:val="none" w:sz="0" w:space="0" w:color="auto"/>
            <w:bottom w:val="none" w:sz="0" w:space="0" w:color="auto"/>
            <w:right w:val="none" w:sz="0" w:space="0" w:color="auto"/>
          </w:divBdr>
        </w:div>
        <w:div w:id="1971666483">
          <w:marLeft w:val="0"/>
          <w:marRight w:val="0"/>
          <w:marTop w:val="0"/>
          <w:marBottom w:val="0"/>
          <w:divBdr>
            <w:top w:val="none" w:sz="0" w:space="0" w:color="auto"/>
            <w:left w:val="none" w:sz="0" w:space="0" w:color="auto"/>
            <w:bottom w:val="none" w:sz="0" w:space="0" w:color="auto"/>
            <w:right w:val="none" w:sz="0" w:space="0" w:color="auto"/>
          </w:divBdr>
        </w:div>
        <w:div w:id="2028867582">
          <w:marLeft w:val="0"/>
          <w:marRight w:val="0"/>
          <w:marTop w:val="0"/>
          <w:marBottom w:val="0"/>
          <w:divBdr>
            <w:top w:val="none" w:sz="0" w:space="0" w:color="auto"/>
            <w:left w:val="none" w:sz="0" w:space="0" w:color="auto"/>
            <w:bottom w:val="none" w:sz="0" w:space="0" w:color="auto"/>
            <w:right w:val="none" w:sz="0" w:space="0" w:color="auto"/>
          </w:divBdr>
        </w:div>
        <w:div w:id="2062903457">
          <w:marLeft w:val="0"/>
          <w:marRight w:val="0"/>
          <w:marTop w:val="0"/>
          <w:marBottom w:val="0"/>
          <w:divBdr>
            <w:top w:val="none" w:sz="0" w:space="0" w:color="auto"/>
            <w:left w:val="none" w:sz="0" w:space="0" w:color="auto"/>
            <w:bottom w:val="none" w:sz="0" w:space="0" w:color="auto"/>
            <w:right w:val="none" w:sz="0" w:space="0" w:color="auto"/>
          </w:divBdr>
        </w:div>
      </w:divsChild>
    </w:div>
    <w:div w:id="1247038914">
      <w:bodyDiv w:val="1"/>
      <w:marLeft w:val="0"/>
      <w:marRight w:val="0"/>
      <w:marTop w:val="0"/>
      <w:marBottom w:val="0"/>
      <w:divBdr>
        <w:top w:val="none" w:sz="0" w:space="0" w:color="auto"/>
        <w:left w:val="none" w:sz="0" w:space="0" w:color="auto"/>
        <w:bottom w:val="none" w:sz="0" w:space="0" w:color="auto"/>
        <w:right w:val="none" w:sz="0" w:space="0" w:color="auto"/>
      </w:divBdr>
    </w:div>
    <w:div w:id="1385719237">
      <w:bodyDiv w:val="1"/>
      <w:marLeft w:val="0"/>
      <w:marRight w:val="0"/>
      <w:marTop w:val="0"/>
      <w:marBottom w:val="0"/>
      <w:divBdr>
        <w:top w:val="none" w:sz="0" w:space="0" w:color="auto"/>
        <w:left w:val="none" w:sz="0" w:space="0" w:color="auto"/>
        <w:bottom w:val="none" w:sz="0" w:space="0" w:color="auto"/>
        <w:right w:val="none" w:sz="0" w:space="0" w:color="auto"/>
      </w:divBdr>
      <w:divsChild>
        <w:div w:id="668361752">
          <w:marLeft w:val="0"/>
          <w:marRight w:val="0"/>
          <w:marTop w:val="0"/>
          <w:marBottom w:val="0"/>
          <w:divBdr>
            <w:top w:val="none" w:sz="0" w:space="0" w:color="auto"/>
            <w:left w:val="none" w:sz="0" w:space="0" w:color="auto"/>
            <w:bottom w:val="none" w:sz="0" w:space="0" w:color="auto"/>
            <w:right w:val="none" w:sz="0" w:space="0" w:color="auto"/>
          </w:divBdr>
        </w:div>
        <w:div w:id="413862137">
          <w:marLeft w:val="0"/>
          <w:marRight w:val="0"/>
          <w:marTop w:val="0"/>
          <w:marBottom w:val="0"/>
          <w:divBdr>
            <w:top w:val="none" w:sz="0" w:space="0" w:color="auto"/>
            <w:left w:val="none" w:sz="0" w:space="0" w:color="auto"/>
            <w:bottom w:val="none" w:sz="0" w:space="0" w:color="auto"/>
            <w:right w:val="none" w:sz="0" w:space="0" w:color="auto"/>
          </w:divBdr>
        </w:div>
      </w:divsChild>
    </w:div>
    <w:div w:id="1685285436">
      <w:bodyDiv w:val="1"/>
      <w:marLeft w:val="0"/>
      <w:marRight w:val="0"/>
      <w:marTop w:val="0"/>
      <w:marBottom w:val="0"/>
      <w:divBdr>
        <w:top w:val="none" w:sz="0" w:space="0" w:color="auto"/>
        <w:left w:val="none" w:sz="0" w:space="0" w:color="auto"/>
        <w:bottom w:val="none" w:sz="0" w:space="0" w:color="auto"/>
        <w:right w:val="none" w:sz="0" w:space="0" w:color="auto"/>
      </w:divBdr>
      <w:divsChild>
        <w:div w:id="626085622">
          <w:marLeft w:val="0"/>
          <w:marRight w:val="0"/>
          <w:marTop w:val="0"/>
          <w:marBottom w:val="0"/>
          <w:divBdr>
            <w:top w:val="none" w:sz="0" w:space="0" w:color="auto"/>
            <w:left w:val="none" w:sz="0" w:space="0" w:color="auto"/>
            <w:bottom w:val="none" w:sz="0" w:space="0" w:color="auto"/>
            <w:right w:val="none" w:sz="0" w:space="0" w:color="auto"/>
          </w:divBdr>
        </w:div>
        <w:div w:id="1700427303">
          <w:marLeft w:val="0"/>
          <w:marRight w:val="0"/>
          <w:marTop w:val="0"/>
          <w:marBottom w:val="0"/>
          <w:divBdr>
            <w:top w:val="none" w:sz="0" w:space="0" w:color="auto"/>
            <w:left w:val="none" w:sz="0" w:space="0" w:color="auto"/>
            <w:bottom w:val="none" w:sz="0" w:space="0" w:color="auto"/>
            <w:right w:val="none" w:sz="0" w:space="0" w:color="auto"/>
          </w:divBdr>
        </w:div>
      </w:divsChild>
    </w:div>
    <w:div w:id="2124299760">
      <w:bodyDiv w:val="1"/>
      <w:marLeft w:val="0"/>
      <w:marRight w:val="0"/>
      <w:marTop w:val="0"/>
      <w:marBottom w:val="0"/>
      <w:divBdr>
        <w:top w:val="none" w:sz="0" w:space="0" w:color="auto"/>
        <w:left w:val="none" w:sz="0" w:space="0" w:color="auto"/>
        <w:bottom w:val="none" w:sz="0" w:space="0" w:color="auto"/>
        <w:right w:val="none" w:sz="0" w:space="0" w:color="auto"/>
      </w:divBdr>
      <w:divsChild>
        <w:div w:id="73210821">
          <w:marLeft w:val="0"/>
          <w:marRight w:val="0"/>
          <w:marTop w:val="0"/>
          <w:marBottom w:val="0"/>
          <w:divBdr>
            <w:top w:val="none" w:sz="0" w:space="0" w:color="auto"/>
            <w:left w:val="none" w:sz="0" w:space="0" w:color="auto"/>
            <w:bottom w:val="none" w:sz="0" w:space="0" w:color="auto"/>
            <w:right w:val="none" w:sz="0" w:space="0" w:color="auto"/>
          </w:divBdr>
        </w:div>
        <w:div w:id="153183244">
          <w:marLeft w:val="0"/>
          <w:marRight w:val="0"/>
          <w:marTop w:val="0"/>
          <w:marBottom w:val="0"/>
          <w:divBdr>
            <w:top w:val="none" w:sz="0" w:space="0" w:color="auto"/>
            <w:left w:val="none" w:sz="0" w:space="0" w:color="auto"/>
            <w:bottom w:val="none" w:sz="0" w:space="0" w:color="auto"/>
            <w:right w:val="none" w:sz="0" w:space="0" w:color="auto"/>
          </w:divBdr>
        </w:div>
        <w:div w:id="227766563">
          <w:marLeft w:val="0"/>
          <w:marRight w:val="0"/>
          <w:marTop w:val="0"/>
          <w:marBottom w:val="0"/>
          <w:divBdr>
            <w:top w:val="none" w:sz="0" w:space="0" w:color="auto"/>
            <w:left w:val="none" w:sz="0" w:space="0" w:color="auto"/>
            <w:bottom w:val="none" w:sz="0" w:space="0" w:color="auto"/>
            <w:right w:val="none" w:sz="0" w:space="0" w:color="auto"/>
          </w:divBdr>
        </w:div>
        <w:div w:id="298461603">
          <w:marLeft w:val="0"/>
          <w:marRight w:val="0"/>
          <w:marTop w:val="0"/>
          <w:marBottom w:val="0"/>
          <w:divBdr>
            <w:top w:val="none" w:sz="0" w:space="0" w:color="auto"/>
            <w:left w:val="none" w:sz="0" w:space="0" w:color="auto"/>
            <w:bottom w:val="none" w:sz="0" w:space="0" w:color="auto"/>
            <w:right w:val="none" w:sz="0" w:space="0" w:color="auto"/>
          </w:divBdr>
        </w:div>
        <w:div w:id="384566824">
          <w:marLeft w:val="0"/>
          <w:marRight w:val="0"/>
          <w:marTop w:val="0"/>
          <w:marBottom w:val="0"/>
          <w:divBdr>
            <w:top w:val="none" w:sz="0" w:space="0" w:color="auto"/>
            <w:left w:val="none" w:sz="0" w:space="0" w:color="auto"/>
            <w:bottom w:val="none" w:sz="0" w:space="0" w:color="auto"/>
            <w:right w:val="none" w:sz="0" w:space="0" w:color="auto"/>
          </w:divBdr>
        </w:div>
        <w:div w:id="449789968">
          <w:marLeft w:val="0"/>
          <w:marRight w:val="0"/>
          <w:marTop w:val="0"/>
          <w:marBottom w:val="0"/>
          <w:divBdr>
            <w:top w:val="none" w:sz="0" w:space="0" w:color="auto"/>
            <w:left w:val="none" w:sz="0" w:space="0" w:color="auto"/>
            <w:bottom w:val="none" w:sz="0" w:space="0" w:color="auto"/>
            <w:right w:val="none" w:sz="0" w:space="0" w:color="auto"/>
          </w:divBdr>
        </w:div>
        <w:div w:id="472604913">
          <w:marLeft w:val="0"/>
          <w:marRight w:val="0"/>
          <w:marTop w:val="0"/>
          <w:marBottom w:val="0"/>
          <w:divBdr>
            <w:top w:val="none" w:sz="0" w:space="0" w:color="auto"/>
            <w:left w:val="none" w:sz="0" w:space="0" w:color="auto"/>
            <w:bottom w:val="none" w:sz="0" w:space="0" w:color="auto"/>
            <w:right w:val="none" w:sz="0" w:space="0" w:color="auto"/>
          </w:divBdr>
        </w:div>
        <w:div w:id="479271128">
          <w:marLeft w:val="0"/>
          <w:marRight w:val="0"/>
          <w:marTop w:val="0"/>
          <w:marBottom w:val="0"/>
          <w:divBdr>
            <w:top w:val="none" w:sz="0" w:space="0" w:color="auto"/>
            <w:left w:val="none" w:sz="0" w:space="0" w:color="auto"/>
            <w:bottom w:val="none" w:sz="0" w:space="0" w:color="auto"/>
            <w:right w:val="none" w:sz="0" w:space="0" w:color="auto"/>
          </w:divBdr>
        </w:div>
        <w:div w:id="583534619">
          <w:marLeft w:val="0"/>
          <w:marRight w:val="0"/>
          <w:marTop w:val="0"/>
          <w:marBottom w:val="0"/>
          <w:divBdr>
            <w:top w:val="none" w:sz="0" w:space="0" w:color="auto"/>
            <w:left w:val="none" w:sz="0" w:space="0" w:color="auto"/>
            <w:bottom w:val="none" w:sz="0" w:space="0" w:color="auto"/>
            <w:right w:val="none" w:sz="0" w:space="0" w:color="auto"/>
          </w:divBdr>
        </w:div>
        <w:div w:id="601185178">
          <w:marLeft w:val="0"/>
          <w:marRight w:val="0"/>
          <w:marTop w:val="0"/>
          <w:marBottom w:val="0"/>
          <w:divBdr>
            <w:top w:val="none" w:sz="0" w:space="0" w:color="auto"/>
            <w:left w:val="none" w:sz="0" w:space="0" w:color="auto"/>
            <w:bottom w:val="none" w:sz="0" w:space="0" w:color="auto"/>
            <w:right w:val="none" w:sz="0" w:space="0" w:color="auto"/>
          </w:divBdr>
        </w:div>
        <w:div w:id="777144788">
          <w:marLeft w:val="0"/>
          <w:marRight w:val="0"/>
          <w:marTop w:val="0"/>
          <w:marBottom w:val="0"/>
          <w:divBdr>
            <w:top w:val="none" w:sz="0" w:space="0" w:color="auto"/>
            <w:left w:val="none" w:sz="0" w:space="0" w:color="auto"/>
            <w:bottom w:val="none" w:sz="0" w:space="0" w:color="auto"/>
            <w:right w:val="none" w:sz="0" w:space="0" w:color="auto"/>
          </w:divBdr>
        </w:div>
        <w:div w:id="840392507">
          <w:marLeft w:val="0"/>
          <w:marRight w:val="0"/>
          <w:marTop w:val="0"/>
          <w:marBottom w:val="0"/>
          <w:divBdr>
            <w:top w:val="none" w:sz="0" w:space="0" w:color="auto"/>
            <w:left w:val="none" w:sz="0" w:space="0" w:color="auto"/>
            <w:bottom w:val="none" w:sz="0" w:space="0" w:color="auto"/>
            <w:right w:val="none" w:sz="0" w:space="0" w:color="auto"/>
          </w:divBdr>
        </w:div>
        <w:div w:id="930163033">
          <w:marLeft w:val="0"/>
          <w:marRight w:val="0"/>
          <w:marTop w:val="0"/>
          <w:marBottom w:val="0"/>
          <w:divBdr>
            <w:top w:val="none" w:sz="0" w:space="0" w:color="auto"/>
            <w:left w:val="none" w:sz="0" w:space="0" w:color="auto"/>
            <w:bottom w:val="none" w:sz="0" w:space="0" w:color="auto"/>
            <w:right w:val="none" w:sz="0" w:space="0" w:color="auto"/>
          </w:divBdr>
        </w:div>
        <w:div w:id="952788639">
          <w:marLeft w:val="0"/>
          <w:marRight w:val="0"/>
          <w:marTop w:val="0"/>
          <w:marBottom w:val="0"/>
          <w:divBdr>
            <w:top w:val="none" w:sz="0" w:space="0" w:color="auto"/>
            <w:left w:val="none" w:sz="0" w:space="0" w:color="auto"/>
            <w:bottom w:val="none" w:sz="0" w:space="0" w:color="auto"/>
            <w:right w:val="none" w:sz="0" w:space="0" w:color="auto"/>
          </w:divBdr>
        </w:div>
        <w:div w:id="954486353">
          <w:marLeft w:val="0"/>
          <w:marRight w:val="0"/>
          <w:marTop w:val="0"/>
          <w:marBottom w:val="0"/>
          <w:divBdr>
            <w:top w:val="none" w:sz="0" w:space="0" w:color="auto"/>
            <w:left w:val="none" w:sz="0" w:space="0" w:color="auto"/>
            <w:bottom w:val="none" w:sz="0" w:space="0" w:color="auto"/>
            <w:right w:val="none" w:sz="0" w:space="0" w:color="auto"/>
          </w:divBdr>
        </w:div>
        <w:div w:id="962076922">
          <w:marLeft w:val="0"/>
          <w:marRight w:val="0"/>
          <w:marTop w:val="0"/>
          <w:marBottom w:val="0"/>
          <w:divBdr>
            <w:top w:val="none" w:sz="0" w:space="0" w:color="auto"/>
            <w:left w:val="none" w:sz="0" w:space="0" w:color="auto"/>
            <w:bottom w:val="none" w:sz="0" w:space="0" w:color="auto"/>
            <w:right w:val="none" w:sz="0" w:space="0" w:color="auto"/>
          </w:divBdr>
        </w:div>
        <w:div w:id="995258093">
          <w:marLeft w:val="0"/>
          <w:marRight w:val="0"/>
          <w:marTop w:val="0"/>
          <w:marBottom w:val="0"/>
          <w:divBdr>
            <w:top w:val="none" w:sz="0" w:space="0" w:color="auto"/>
            <w:left w:val="none" w:sz="0" w:space="0" w:color="auto"/>
            <w:bottom w:val="none" w:sz="0" w:space="0" w:color="auto"/>
            <w:right w:val="none" w:sz="0" w:space="0" w:color="auto"/>
          </w:divBdr>
        </w:div>
        <w:div w:id="1024671948">
          <w:marLeft w:val="0"/>
          <w:marRight w:val="0"/>
          <w:marTop w:val="0"/>
          <w:marBottom w:val="0"/>
          <w:divBdr>
            <w:top w:val="none" w:sz="0" w:space="0" w:color="auto"/>
            <w:left w:val="none" w:sz="0" w:space="0" w:color="auto"/>
            <w:bottom w:val="none" w:sz="0" w:space="0" w:color="auto"/>
            <w:right w:val="none" w:sz="0" w:space="0" w:color="auto"/>
          </w:divBdr>
        </w:div>
        <w:div w:id="1113404002">
          <w:marLeft w:val="0"/>
          <w:marRight w:val="0"/>
          <w:marTop w:val="0"/>
          <w:marBottom w:val="0"/>
          <w:divBdr>
            <w:top w:val="none" w:sz="0" w:space="0" w:color="auto"/>
            <w:left w:val="none" w:sz="0" w:space="0" w:color="auto"/>
            <w:bottom w:val="none" w:sz="0" w:space="0" w:color="auto"/>
            <w:right w:val="none" w:sz="0" w:space="0" w:color="auto"/>
          </w:divBdr>
        </w:div>
        <w:div w:id="1161233575">
          <w:marLeft w:val="0"/>
          <w:marRight w:val="0"/>
          <w:marTop w:val="0"/>
          <w:marBottom w:val="0"/>
          <w:divBdr>
            <w:top w:val="none" w:sz="0" w:space="0" w:color="auto"/>
            <w:left w:val="none" w:sz="0" w:space="0" w:color="auto"/>
            <w:bottom w:val="none" w:sz="0" w:space="0" w:color="auto"/>
            <w:right w:val="none" w:sz="0" w:space="0" w:color="auto"/>
          </w:divBdr>
        </w:div>
        <w:div w:id="1259562072">
          <w:marLeft w:val="0"/>
          <w:marRight w:val="0"/>
          <w:marTop w:val="0"/>
          <w:marBottom w:val="0"/>
          <w:divBdr>
            <w:top w:val="none" w:sz="0" w:space="0" w:color="auto"/>
            <w:left w:val="none" w:sz="0" w:space="0" w:color="auto"/>
            <w:bottom w:val="none" w:sz="0" w:space="0" w:color="auto"/>
            <w:right w:val="none" w:sz="0" w:space="0" w:color="auto"/>
          </w:divBdr>
        </w:div>
        <w:div w:id="1291744656">
          <w:marLeft w:val="0"/>
          <w:marRight w:val="0"/>
          <w:marTop w:val="0"/>
          <w:marBottom w:val="0"/>
          <w:divBdr>
            <w:top w:val="none" w:sz="0" w:space="0" w:color="auto"/>
            <w:left w:val="none" w:sz="0" w:space="0" w:color="auto"/>
            <w:bottom w:val="none" w:sz="0" w:space="0" w:color="auto"/>
            <w:right w:val="none" w:sz="0" w:space="0" w:color="auto"/>
          </w:divBdr>
        </w:div>
        <w:div w:id="1354384749">
          <w:marLeft w:val="0"/>
          <w:marRight w:val="0"/>
          <w:marTop w:val="0"/>
          <w:marBottom w:val="0"/>
          <w:divBdr>
            <w:top w:val="none" w:sz="0" w:space="0" w:color="auto"/>
            <w:left w:val="none" w:sz="0" w:space="0" w:color="auto"/>
            <w:bottom w:val="none" w:sz="0" w:space="0" w:color="auto"/>
            <w:right w:val="none" w:sz="0" w:space="0" w:color="auto"/>
          </w:divBdr>
        </w:div>
        <w:div w:id="1418483134">
          <w:marLeft w:val="0"/>
          <w:marRight w:val="0"/>
          <w:marTop w:val="0"/>
          <w:marBottom w:val="0"/>
          <w:divBdr>
            <w:top w:val="none" w:sz="0" w:space="0" w:color="auto"/>
            <w:left w:val="none" w:sz="0" w:space="0" w:color="auto"/>
            <w:bottom w:val="none" w:sz="0" w:space="0" w:color="auto"/>
            <w:right w:val="none" w:sz="0" w:space="0" w:color="auto"/>
          </w:divBdr>
        </w:div>
        <w:div w:id="1662154688">
          <w:marLeft w:val="0"/>
          <w:marRight w:val="0"/>
          <w:marTop w:val="0"/>
          <w:marBottom w:val="0"/>
          <w:divBdr>
            <w:top w:val="none" w:sz="0" w:space="0" w:color="auto"/>
            <w:left w:val="none" w:sz="0" w:space="0" w:color="auto"/>
            <w:bottom w:val="none" w:sz="0" w:space="0" w:color="auto"/>
            <w:right w:val="none" w:sz="0" w:space="0" w:color="auto"/>
          </w:divBdr>
        </w:div>
        <w:div w:id="1670014539">
          <w:marLeft w:val="0"/>
          <w:marRight w:val="0"/>
          <w:marTop w:val="0"/>
          <w:marBottom w:val="0"/>
          <w:divBdr>
            <w:top w:val="none" w:sz="0" w:space="0" w:color="auto"/>
            <w:left w:val="none" w:sz="0" w:space="0" w:color="auto"/>
            <w:bottom w:val="none" w:sz="0" w:space="0" w:color="auto"/>
            <w:right w:val="none" w:sz="0" w:space="0" w:color="auto"/>
          </w:divBdr>
        </w:div>
        <w:div w:id="1672949871">
          <w:marLeft w:val="0"/>
          <w:marRight w:val="0"/>
          <w:marTop w:val="0"/>
          <w:marBottom w:val="0"/>
          <w:divBdr>
            <w:top w:val="none" w:sz="0" w:space="0" w:color="auto"/>
            <w:left w:val="none" w:sz="0" w:space="0" w:color="auto"/>
            <w:bottom w:val="none" w:sz="0" w:space="0" w:color="auto"/>
            <w:right w:val="none" w:sz="0" w:space="0" w:color="auto"/>
          </w:divBdr>
        </w:div>
        <w:div w:id="1803646710">
          <w:marLeft w:val="0"/>
          <w:marRight w:val="0"/>
          <w:marTop w:val="0"/>
          <w:marBottom w:val="0"/>
          <w:divBdr>
            <w:top w:val="none" w:sz="0" w:space="0" w:color="auto"/>
            <w:left w:val="none" w:sz="0" w:space="0" w:color="auto"/>
            <w:bottom w:val="none" w:sz="0" w:space="0" w:color="auto"/>
            <w:right w:val="none" w:sz="0" w:space="0" w:color="auto"/>
          </w:divBdr>
        </w:div>
        <w:div w:id="1819490181">
          <w:marLeft w:val="0"/>
          <w:marRight w:val="0"/>
          <w:marTop w:val="0"/>
          <w:marBottom w:val="0"/>
          <w:divBdr>
            <w:top w:val="none" w:sz="0" w:space="0" w:color="auto"/>
            <w:left w:val="none" w:sz="0" w:space="0" w:color="auto"/>
            <w:bottom w:val="none" w:sz="0" w:space="0" w:color="auto"/>
            <w:right w:val="none" w:sz="0" w:space="0" w:color="auto"/>
          </w:divBdr>
        </w:div>
        <w:div w:id="1875313856">
          <w:marLeft w:val="0"/>
          <w:marRight w:val="0"/>
          <w:marTop w:val="0"/>
          <w:marBottom w:val="0"/>
          <w:divBdr>
            <w:top w:val="none" w:sz="0" w:space="0" w:color="auto"/>
            <w:left w:val="none" w:sz="0" w:space="0" w:color="auto"/>
            <w:bottom w:val="none" w:sz="0" w:space="0" w:color="auto"/>
            <w:right w:val="none" w:sz="0" w:space="0" w:color="auto"/>
          </w:divBdr>
        </w:div>
        <w:div w:id="1896551379">
          <w:marLeft w:val="0"/>
          <w:marRight w:val="0"/>
          <w:marTop w:val="0"/>
          <w:marBottom w:val="0"/>
          <w:divBdr>
            <w:top w:val="none" w:sz="0" w:space="0" w:color="auto"/>
            <w:left w:val="none" w:sz="0" w:space="0" w:color="auto"/>
            <w:bottom w:val="none" w:sz="0" w:space="0" w:color="auto"/>
            <w:right w:val="none" w:sz="0" w:space="0" w:color="auto"/>
          </w:divBdr>
        </w:div>
        <w:div w:id="1920366717">
          <w:marLeft w:val="0"/>
          <w:marRight w:val="0"/>
          <w:marTop w:val="0"/>
          <w:marBottom w:val="0"/>
          <w:divBdr>
            <w:top w:val="none" w:sz="0" w:space="0" w:color="auto"/>
            <w:left w:val="none" w:sz="0" w:space="0" w:color="auto"/>
            <w:bottom w:val="none" w:sz="0" w:space="0" w:color="auto"/>
            <w:right w:val="none" w:sz="0" w:space="0" w:color="auto"/>
          </w:divBdr>
        </w:div>
        <w:div w:id="2010212858">
          <w:marLeft w:val="0"/>
          <w:marRight w:val="0"/>
          <w:marTop w:val="0"/>
          <w:marBottom w:val="0"/>
          <w:divBdr>
            <w:top w:val="none" w:sz="0" w:space="0" w:color="auto"/>
            <w:left w:val="none" w:sz="0" w:space="0" w:color="auto"/>
            <w:bottom w:val="none" w:sz="0" w:space="0" w:color="auto"/>
            <w:right w:val="none" w:sz="0" w:space="0" w:color="auto"/>
          </w:divBdr>
        </w:div>
        <w:div w:id="2040549096">
          <w:marLeft w:val="0"/>
          <w:marRight w:val="0"/>
          <w:marTop w:val="0"/>
          <w:marBottom w:val="0"/>
          <w:divBdr>
            <w:top w:val="none" w:sz="0" w:space="0" w:color="auto"/>
            <w:left w:val="none" w:sz="0" w:space="0" w:color="auto"/>
            <w:bottom w:val="none" w:sz="0" w:space="0" w:color="auto"/>
            <w:right w:val="none" w:sz="0" w:space="0" w:color="auto"/>
          </w:divBdr>
        </w:div>
        <w:div w:id="2041663387">
          <w:marLeft w:val="0"/>
          <w:marRight w:val="0"/>
          <w:marTop w:val="0"/>
          <w:marBottom w:val="0"/>
          <w:divBdr>
            <w:top w:val="none" w:sz="0" w:space="0" w:color="auto"/>
            <w:left w:val="none" w:sz="0" w:space="0" w:color="auto"/>
            <w:bottom w:val="none" w:sz="0" w:space="0" w:color="auto"/>
            <w:right w:val="none" w:sz="0" w:space="0" w:color="auto"/>
          </w:divBdr>
        </w:div>
        <w:div w:id="2049723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uojustatau.lt/" TargetMode="External"/><Relationship Id="rId18" Type="http://schemas.openxmlformats.org/officeDocument/2006/relationships/hyperlink" Target="https://www.railbaltica.org/design-guidelin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s://www.planuojustatau.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planuojustatau.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pdr.l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ZUE10i8tAGdxdKlHwOOOf0pX6g==">CgMxLjAaJAoBMBIfCh0IB0IZCgVBcmlhbBIQQXJpYWwgVW5pY29kZSBNUxokCgExEh8KHQgHQhkKBUFyaWFsEhBBcmlhbCBVbmljb2RlIE1TMglpZC5namRneHMyCmlkLjMwajB6bGwyCmlkLjFmb2I5dGUyCmlkLjN6bnlzaDcyCWguMmV0OTJwMDIIaC50eWpjd3QyCWguM2R5NnZrbTgAciExb2E1eFFTTjFFOERPVjlGUDRhQW4yMVR2M0U0cnd3UDA=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249B86-8D1F-4AF3-82FF-925F9A03C71B}">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3.xml><?xml version="1.0" encoding="utf-8"?>
<ds:datastoreItem xmlns:ds="http://schemas.openxmlformats.org/officeDocument/2006/customXml" ds:itemID="{324DD297-1ADC-4BED-8EF4-4F9CBE31A54C}">
  <ds:schemaRefs>
    <ds:schemaRef ds:uri="http://schemas.microsoft.com/sharepoint/v3/contenttype/forms"/>
  </ds:schemaRefs>
</ds:datastoreItem>
</file>

<file path=customXml/itemProps4.xml><?xml version="1.0" encoding="utf-8"?>
<ds:datastoreItem xmlns:ds="http://schemas.openxmlformats.org/officeDocument/2006/customXml" ds:itemID="{B5896F4E-C66E-4943-8B53-4B91FB55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54</TotalTime>
  <Pages>49</Pages>
  <Words>79585</Words>
  <Characters>45365</Characters>
  <Application>Microsoft Office Word</Application>
  <DocSecurity>0</DocSecurity>
  <Lines>378</Lines>
  <Paragraphs>249</Paragraphs>
  <ScaleCrop>false</ScaleCrop>
  <Company/>
  <LinksUpToDate>false</LinksUpToDate>
  <CharactersWithSpaces>124701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45</cp:revision>
  <dcterms:created xsi:type="dcterms:W3CDTF">2025-05-29T13:50:00Z</dcterms:created>
  <dcterms:modified xsi:type="dcterms:W3CDTF">2025-08-04T11:07:00Z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2019-11-25T11:02:28.8659738Z</vt:lpwstr>
  </property>
  <property fmtid="{D5CDD505-2E9C-101B-9397-08002B2CF9AE}" pid="3" name="MSIP_Label_cfcb905c-755b-4fd4-bd20-0d682d4f1d27_Name">
    <vt:lpwstr>Internal</vt:lpwstr>
  </property>
  <property fmtid="{D5CDD505-2E9C-101B-9397-08002B2CF9AE}" pid="4" name="MediaServiceImageTags">
    <vt:lpwstr>MediaServiceImageTags</vt:lpwstr>
  </property>
  <property fmtid="{D5CDD505-2E9C-101B-9397-08002B2CF9AE}" pid="5" name="ContentTypeId">
    <vt:lpwstr>0x01010001AFAFC2E955D144ACEF2145959DA43F</vt:lpwstr>
  </property>
  <property fmtid="{D5CDD505-2E9C-101B-9397-08002B2CF9AE}" pid="6" name="MSIP_Label_cfcb905c-755b-4fd4-bd20-0d682d4f1d27_Enabled">
    <vt:lpwstr>True</vt:lpwstr>
  </property>
  <property fmtid="{D5CDD505-2E9C-101B-9397-08002B2CF9AE}" pid="7" name="_dlc_DocIdItemGuid">
    <vt:lpwstr>e9194f41-e57e-4aea-ad2e-eb1c31ae982e</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MSIP_Label_cfcb905c-755b-4fd4-bd20-0d682d4f1d27_ActionId">
    <vt:lpwstr>cbd34b82-17e4-405e-88ef-aa7f57745ac4</vt:lpwstr>
  </property>
  <property fmtid="{D5CDD505-2E9C-101B-9397-08002B2CF9AE}" pid="11" name="MSIP_Label_cfcb905c-755b-4fd4-bd20-0d682d4f1d27_SiteId">
    <vt:lpwstr>d91d5b65-9d38-4908-9bd1-ebc28a01cade</vt:lpwstr>
  </property>
</Properties>
</file>